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2" w:rsidRDefault="00881252" w:rsidP="00881252">
      <w:pPr>
        <w:jc w:val="center"/>
        <w:rPr>
          <w:b/>
        </w:rPr>
      </w:pPr>
      <w:r w:rsidRPr="00BC3C5C">
        <w:rPr>
          <w:b/>
        </w:rPr>
        <w:t>CLASSIFIED</w:t>
      </w:r>
      <w:r>
        <w:t xml:space="preserve"> </w:t>
      </w:r>
      <w:r w:rsidRPr="00B54D2B">
        <w:rPr>
          <w:b/>
        </w:rPr>
        <w:t xml:space="preserve">EMPLOYEE SELF ASSESSMENT </w:t>
      </w:r>
      <w:r>
        <w:rPr>
          <w:b/>
        </w:rPr>
        <w:t xml:space="preserve">AND </w:t>
      </w:r>
    </w:p>
    <w:p w:rsidR="00881252" w:rsidRDefault="00881252" w:rsidP="00881252">
      <w:pPr>
        <w:jc w:val="center"/>
        <w:rPr>
          <w:b/>
        </w:rPr>
      </w:pPr>
      <w:r>
        <w:rPr>
          <w:b/>
        </w:rPr>
        <w:t xml:space="preserve">APPEALS </w:t>
      </w:r>
      <w:r w:rsidRPr="00B54D2B">
        <w:rPr>
          <w:b/>
        </w:rPr>
        <w:t>PROCESS</w:t>
      </w:r>
    </w:p>
    <w:p w:rsidR="00881252" w:rsidRDefault="00881252" w:rsidP="00515019"/>
    <w:p w:rsidR="00881252" w:rsidRDefault="00881252" w:rsidP="00881252">
      <w:pPr>
        <w:jc w:val="center"/>
      </w:pPr>
    </w:p>
    <w:p w:rsidR="00881252" w:rsidRPr="003A1A8F" w:rsidRDefault="00881252" w:rsidP="00881252">
      <w:pPr>
        <w:ind w:firstLine="360"/>
        <w:rPr>
          <w:b/>
          <w:u w:val="single"/>
        </w:rPr>
      </w:pPr>
      <w:r w:rsidRPr="003A1A8F">
        <w:rPr>
          <w:b/>
          <w:u w:val="single"/>
        </w:rPr>
        <w:t>Evaluations</w:t>
      </w:r>
      <w:r w:rsidR="00D15C54">
        <w:rPr>
          <w:b/>
          <w:u w:val="single"/>
        </w:rPr>
        <w:t xml:space="preserve">  </w:t>
      </w:r>
    </w:p>
    <w:p w:rsidR="00D15C54" w:rsidRDefault="00D15C54" w:rsidP="00D15C54">
      <w:pPr>
        <w:ind w:left="360"/>
      </w:pPr>
    </w:p>
    <w:p w:rsidR="00881252" w:rsidRDefault="00D15C54" w:rsidP="00D15C54">
      <w:pPr>
        <w:ind w:left="360"/>
      </w:pPr>
      <w:r w:rsidRPr="00F66C51">
        <w:t xml:space="preserve">Supervisors are required to complete evaluations for each classified employee during the annual evaluation period (Aug </w:t>
      </w:r>
      <w:r w:rsidR="00EB00A3">
        <w:t>10-October 24).    E</w:t>
      </w:r>
      <w:r w:rsidRPr="00F66C51">
        <w:t xml:space="preserve">mployees </w:t>
      </w:r>
      <w:r w:rsidR="00EB00A3">
        <w:t xml:space="preserve">on probation </w:t>
      </w:r>
      <w:r w:rsidRPr="00F66C51">
        <w:t xml:space="preserve">whose probationary periods </w:t>
      </w:r>
      <w:r w:rsidR="00EF0597">
        <w:t>end in September or October</w:t>
      </w:r>
      <w:bookmarkStart w:id="0" w:name="_GoBack"/>
      <w:bookmarkEnd w:id="0"/>
      <w:r w:rsidRPr="00F66C51">
        <w:t xml:space="preserve"> may be evaluated using either the Probationary review form or the new Classified Employee Evaluation Form.</w:t>
      </w:r>
    </w:p>
    <w:p w:rsidR="00881252" w:rsidRDefault="00881252" w:rsidP="00881252">
      <w:pPr>
        <w:ind w:left="720"/>
      </w:pPr>
    </w:p>
    <w:p w:rsidR="00881252" w:rsidRDefault="00881252" w:rsidP="00881252">
      <w:pPr>
        <w:ind w:firstLine="360"/>
        <w:rPr>
          <w:b/>
          <w:u w:val="single"/>
        </w:rPr>
      </w:pPr>
      <w:r w:rsidRPr="003A1A8F">
        <w:rPr>
          <w:b/>
          <w:u w:val="single"/>
        </w:rPr>
        <w:t>Employee Self-Assessment</w:t>
      </w:r>
    </w:p>
    <w:p w:rsidR="00F66C51" w:rsidRDefault="00F66C51" w:rsidP="00F66C51">
      <w:pPr>
        <w:rPr>
          <w:b/>
          <w:u w:val="single"/>
        </w:rPr>
      </w:pPr>
    </w:p>
    <w:p w:rsidR="00881252" w:rsidRDefault="003C1268" w:rsidP="00F66C51">
      <w:pPr>
        <w:ind w:left="360"/>
      </w:pPr>
      <w:r>
        <w:t>Each employee is af</w:t>
      </w:r>
      <w:r w:rsidR="00F66C51">
        <w:t xml:space="preserve">forded </w:t>
      </w:r>
      <w:r w:rsidR="00881252">
        <w:t xml:space="preserve">the opportunity to </w:t>
      </w:r>
      <w:r w:rsidR="00F66C51">
        <w:t xml:space="preserve">provide the supervisor </w:t>
      </w:r>
      <w:r w:rsidR="00881252">
        <w:t>with a self-a</w:t>
      </w:r>
      <w:r w:rsidR="00EB00A3">
        <w:t xml:space="preserve">ssessment </w:t>
      </w:r>
      <w:r w:rsidR="00881252">
        <w:t>for the rating period</w:t>
      </w:r>
      <w:r w:rsidR="00F66C51">
        <w:t xml:space="preserve">.  </w:t>
      </w:r>
      <w:r w:rsidR="00881252">
        <w:t>Supervisor</w:t>
      </w:r>
      <w:r w:rsidR="00F66C51">
        <w:t>s</w:t>
      </w:r>
      <w:r w:rsidR="00881252">
        <w:t xml:space="preserve"> </w:t>
      </w:r>
      <w:r w:rsidR="00F66C51">
        <w:t>are required to</w:t>
      </w:r>
      <w:r w:rsidR="00881252">
        <w:t xml:space="preserve"> review and consider employee self-assessment</w:t>
      </w:r>
      <w:r w:rsidR="00F66C51">
        <w:t>s</w:t>
      </w:r>
      <w:r w:rsidR="00881252">
        <w:t xml:space="preserve"> when completing the performance evaluation</w:t>
      </w:r>
      <w:r w:rsidR="00F66C51">
        <w:t>.</w:t>
      </w:r>
    </w:p>
    <w:p w:rsidR="00881252" w:rsidRDefault="00881252" w:rsidP="00881252">
      <w:pPr>
        <w:ind w:left="720"/>
      </w:pPr>
    </w:p>
    <w:p w:rsidR="00881252" w:rsidRDefault="00881252" w:rsidP="00881252">
      <w:pPr>
        <w:ind w:firstLine="360"/>
        <w:rPr>
          <w:b/>
          <w:u w:val="single"/>
        </w:rPr>
      </w:pPr>
      <w:r>
        <w:rPr>
          <w:b/>
          <w:u w:val="single"/>
        </w:rPr>
        <w:t>Self-Assessment</w:t>
      </w:r>
      <w:r w:rsidRPr="0090759E">
        <w:rPr>
          <w:b/>
          <w:u w:val="single"/>
        </w:rPr>
        <w:t xml:space="preserve"> Formats</w:t>
      </w:r>
    </w:p>
    <w:p w:rsidR="00F66C51" w:rsidRDefault="00F66C51" w:rsidP="00F66C51">
      <w:pPr>
        <w:ind w:firstLine="360"/>
        <w:rPr>
          <w:b/>
          <w:u w:val="single"/>
        </w:rPr>
      </w:pPr>
    </w:p>
    <w:p w:rsidR="00881252" w:rsidRDefault="00F66C51" w:rsidP="00F66C51">
      <w:pPr>
        <w:ind w:left="360"/>
      </w:pPr>
      <w:r>
        <w:t xml:space="preserve">There is a self-assessment section </w:t>
      </w:r>
      <w:r w:rsidR="00881252" w:rsidRPr="0090759E">
        <w:t>on the Evaluation Form for</w:t>
      </w:r>
      <w:r w:rsidR="00881252">
        <w:rPr>
          <w:b/>
        </w:rPr>
        <w:t xml:space="preserve"> </w:t>
      </w:r>
      <w:r>
        <w:t>the e</w:t>
      </w:r>
      <w:r w:rsidR="00881252">
        <w:t xml:space="preserve">mployee </w:t>
      </w:r>
      <w:r>
        <w:t xml:space="preserve">to complete. The supervisor may designate a different format for the </w:t>
      </w:r>
      <w:r w:rsidR="00EB00A3">
        <w:t xml:space="preserve">employee to use when completing their self-assessment.  Completing </w:t>
      </w:r>
      <w:r>
        <w:t>the self-assessment in a narrative format is rec</w:t>
      </w:r>
      <w:r w:rsidR="00EB00A3">
        <w:t>ommended to provide an affective and detailed</w:t>
      </w:r>
      <w:r>
        <w:t xml:space="preserve"> description to the supervisor. </w:t>
      </w:r>
    </w:p>
    <w:p w:rsidR="00881252" w:rsidRDefault="00881252" w:rsidP="00F66C51"/>
    <w:p w:rsidR="00881252" w:rsidRDefault="00881252" w:rsidP="00881252">
      <w:pPr>
        <w:ind w:firstLine="360"/>
        <w:rPr>
          <w:b/>
          <w:u w:val="single"/>
        </w:rPr>
      </w:pPr>
      <w:r w:rsidRPr="0090759E">
        <w:rPr>
          <w:b/>
          <w:u w:val="single"/>
        </w:rPr>
        <w:t>Information to Include</w:t>
      </w:r>
    </w:p>
    <w:p w:rsidR="00F66C51" w:rsidRPr="0090759E" w:rsidRDefault="00F66C51" w:rsidP="00881252">
      <w:pPr>
        <w:ind w:firstLine="360"/>
        <w:rPr>
          <w:b/>
          <w:u w:val="single"/>
        </w:rPr>
      </w:pPr>
    </w:p>
    <w:p w:rsidR="00881252" w:rsidRDefault="00881252" w:rsidP="00881252">
      <w:pPr>
        <w:numPr>
          <w:ilvl w:val="0"/>
          <w:numId w:val="3"/>
        </w:numPr>
      </w:pPr>
      <w:r>
        <w:t>How core measures were met</w:t>
      </w:r>
    </w:p>
    <w:p w:rsidR="00881252" w:rsidRDefault="00881252" w:rsidP="00881252">
      <w:pPr>
        <w:numPr>
          <w:ilvl w:val="0"/>
          <w:numId w:val="3"/>
        </w:numPr>
      </w:pPr>
      <w:r>
        <w:t>How performance factors were met</w:t>
      </w:r>
    </w:p>
    <w:p w:rsidR="00881252" w:rsidRDefault="00881252" w:rsidP="00881252">
      <w:pPr>
        <w:numPr>
          <w:ilvl w:val="0"/>
          <w:numId w:val="3"/>
        </w:numPr>
      </w:pPr>
      <w:r>
        <w:t>Accomplishments during the rating cycle</w:t>
      </w:r>
    </w:p>
    <w:p w:rsidR="00881252" w:rsidRDefault="00881252" w:rsidP="00881252">
      <w:pPr>
        <w:numPr>
          <w:ilvl w:val="0"/>
          <w:numId w:val="3"/>
        </w:numPr>
      </w:pPr>
      <w:r>
        <w:t>Problems during cycle that prevented measures to be met</w:t>
      </w:r>
    </w:p>
    <w:p w:rsidR="00881252" w:rsidRDefault="00881252" w:rsidP="00881252">
      <w:pPr>
        <w:numPr>
          <w:ilvl w:val="0"/>
          <w:numId w:val="3"/>
        </w:numPr>
      </w:pPr>
      <w:r>
        <w:t>Circumstances beyond employee’s control</w:t>
      </w:r>
    </w:p>
    <w:p w:rsidR="00881252" w:rsidRDefault="00881252" w:rsidP="00881252">
      <w:pPr>
        <w:numPr>
          <w:ilvl w:val="0"/>
          <w:numId w:val="3"/>
        </w:numPr>
      </w:pPr>
      <w:r>
        <w:t>Year-end learning accomplishments</w:t>
      </w:r>
    </w:p>
    <w:p w:rsidR="00881252" w:rsidRDefault="00881252" w:rsidP="00881252"/>
    <w:p w:rsidR="00881252" w:rsidRDefault="00881252" w:rsidP="00881252">
      <w:pPr>
        <w:ind w:firstLine="360"/>
        <w:rPr>
          <w:b/>
          <w:u w:val="single"/>
        </w:rPr>
      </w:pPr>
      <w:r w:rsidRPr="00BC3C5C">
        <w:rPr>
          <w:b/>
          <w:u w:val="single"/>
        </w:rPr>
        <w:t>Appeals Process for Performance Evaluations</w:t>
      </w:r>
    </w:p>
    <w:p w:rsidR="00F66C51" w:rsidRPr="00BC3C5C" w:rsidRDefault="00F66C51" w:rsidP="00881252">
      <w:pPr>
        <w:ind w:firstLine="360"/>
        <w:rPr>
          <w:b/>
          <w:u w:val="single"/>
        </w:rPr>
      </w:pPr>
    </w:p>
    <w:p w:rsidR="00881252" w:rsidRDefault="00881252" w:rsidP="00881252">
      <w:pPr>
        <w:ind w:firstLine="360"/>
        <w:jc w:val="both"/>
      </w:pPr>
      <w:r>
        <w:t>If employee disagrees with evaluation:</w:t>
      </w:r>
    </w:p>
    <w:p w:rsidR="00881252" w:rsidRDefault="00881252" w:rsidP="00881252">
      <w:pPr>
        <w:numPr>
          <w:ilvl w:val="0"/>
          <w:numId w:val="1"/>
        </w:numPr>
        <w:jc w:val="both"/>
      </w:pPr>
      <w:r>
        <w:t xml:space="preserve">Employee should discuss the issue with supervisor </w:t>
      </w:r>
    </w:p>
    <w:p w:rsidR="00881252" w:rsidRDefault="00881252" w:rsidP="00881252">
      <w:pPr>
        <w:numPr>
          <w:ilvl w:val="0"/>
          <w:numId w:val="1"/>
        </w:numPr>
        <w:jc w:val="both"/>
      </w:pPr>
      <w:r>
        <w:t xml:space="preserve">If not resolved, employee may appeal to the reviewer for another review of the evaluation, within 10 workdays of the initial performance meeting </w:t>
      </w:r>
    </w:p>
    <w:p w:rsidR="00881252" w:rsidRDefault="00881252" w:rsidP="00881252">
      <w:pPr>
        <w:numPr>
          <w:ilvl w:val="0"/>
          <w:numId w:val="1"/>
        </w:numPr>
        <w:jc w:val="both"/>
      </w:pPr>
      <w:r>
        <w:t xml:space="preserve">Reviewer should discuss appeal with supervisor </w:t>
      </w:r>
    </w:p>
    <w:p w:rsidR="00F66C51" w:rsidRDefault="00881252" w:rsidP="000E12E5">
      <w:pPr>
        <w:numPr>
          <w:ilvl w:val="0"/>
          <w:numId w:val="1"/>
        </w:numPr>
        <w:jc w:val="both"/>
      </w:pPr>
      <w:r>
        <w:t>Reviewer should provide employee a written response with 5 workdays</w:t>
      </w:r>
    </w:p>
    <w:p w:rsidR="003E797E" w:rsidRPr="00010D51" w:rsidRDefault="000E12E5" w:rsidP="00515019">
      <w:pPr>
        <w:numPr>
          <w:ilvl w:val="0"/>
          <w:numId w:val="1"/>
        </w:numPr>
      </w:pPr>
      <w:r>
        <w:t>Classified employee evaluatio</w:t>
      </w:r>
      <w:r w:rsidR="00515019">
        <w:t>ns may be grieved following</w:t>
      </w:r>
      <w:r>
        <w:t xml:space="preserve"> the</w:t>
      </w:r>
      <w:r w:rsidR="00515019">
        <w:t xml:space="preserve"> </w:t>
      </w:r>
      <w:hyperlink r:id="rId9" w:history="1">
        <w:r w:rsidR="00515019" w:rsidRPr="00515019">
          <w:rPr>
            <w:rStyle w:val="Hyperlink"/>
          </w:rPr>
          <w:t>Grievance Procedure</w:t>
        </w:r>
      </w:hyperlink>
      <w:r w:rsidR="00515019">
        <w:t xml:space="preserve"> </w:t>
      </w:r>
      <w:r w:rsidR="00EB00A3">
        <w:t>guidelines.</w:t>
      </w:r>
      <w:r>
        <w:t xml:space="preserve"> </w:t>
      </w:r>
      <w:r w:rsidR="00515019">
        <w:t xml:space="preserve">  </w:t>
      </w:r>
    </w:p>
    <w:sectPr w:rsidR="003E797E" w:rsidRPr="00010D51" w:rsidSect="00FC4E89">
      <w:headerReference w:type="default" r:id="rId10"/>
      <w:footerReference w:type="default" r:id="rId11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D2" w:rsidRDefault="009035D2" w:rsidP="0045375B">
      <w:r>
        <w:separator/>
      </w:r>
    </w:p>
  </w:endnote>
  <w:endnote w:type="continuationSeparator" w:id="0">
    <w:p w:rsidR="009035D2" w:rsidRDefault="009035D2" w:rsidP="004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89" w:rsidRPr="00D97015" w:rsidRDefault="00FC4E89" w:rsidP="00FC4E89">
    <w:pPr>
      <w:ind w:left="5040" w:firstLine="60"/>
      <w:jc w:val="center"/>
      <w:rPr>
        <w:sz w:val="16"/>
        <w:szCs w:val="16"/>
      </w:rPr>
    </w:pPr>
    <w:r>
      <w:rPr>
        <w:sz w:val="16"/>
        <w:szCs w:val="16"/>
      </w:rPr>
      <w:t xml:space="preserve">          </w:t>
    </w:r>
    <w:r w:rsidRPr="00D97015">
      <w:rPr>
        <w:sz w:val="16"/>
        <w:szCs w:val="16"/>
      </w:rPr>
      <w:t xml:space="preserve">  1301 College Avenue                 </w:t>
    </w:r>
    <w:r w:rsidR="00A45AAB">
      <w:rPr>
        <w:sz w:val="16"/>
        <w:szCs w:val="16"/>
      </w:rPr>
      <w:t xml:space="preserve">                </w:t>
    </w:r>
    <w:r w:rsidRPr="00D97015">
      <w:rPr>
        <w:sz w:val="16"/>
        <w:szCs w:val="16"/>
      </w:rPr>
      <w:t>Telephone: (540)</w:t>
    </w:r>
    <w:r w:rsidR="00A45AAB">
      <w:rPr>
        <w:sz w:val="16"/>
        <w:szCs w:val="16"/>
      </w:rPr>
      <w:t xml:space="preserve"> </w:t>
    </w:r>
    <w:r w:rsidRPr="00D97015">
      <w:rPr>
        <w:sz w:val="16"/>
        <w:szCs w:val="16"/>
      </w:rPr>
      <w:t>654-</w:t>
    </w:r>
    <w:r w:rsidR="00A45AAB">
      <w:rPr>
        <w:sz w:val="16"/>
        <w:szCs w:val="16"/>
      </w:rPr>
      <w:t>1214</w:t>
    </w:r>
    <w:r w:rsidRPr="00D97015">
      <w:rPr>
        <w:sz w:val="16"/>
        <w:szCs w:val="16"/>
      </w:rPr>
      <w:t xml:space="preserve">   </w:t>
    </w:r>
  </w:p>
  <w:p w:rsidR="00FC4E89" w:rsidRDefault="00FC4E89" w:rsidP="00FC4E89">
    <w:pPr>
      <w:ind w:left="5040" w:firstLine="60"/>
      <w:rPr>
        <w:sz w:val="16"/>
        <w:szCs w:val="16"/>
      </w:rPr>
    </w:pPr>
    <w:r>
      <w:rPr>
        <w:sz w:val="16"/>
        <w:szCs w:val="16"/>
      </w:rPr>
      <w:t xml:space="preserve">         </w:t>
    </w:r>
    <w:r w:rsidRPr="00D97015">
      <w:rPr>
        <w:sz w:val="16"/>
        <w:szCs w:val="16"/>
      </w:rPr>
      <w:t xml:space="preserve">   Fredericksburg, VA  22401-5300</w:t>
    </w:r>
    <w:r>
      <w:rPr>
        <w:sz w:val="16"/>
        <w:szCs w:val="16"/>
      </w:rPr>
      <w:t xml:space="preserve">               Fax: (540) 654-1078</w:t>
    </w:r>
  </w:p>
  <w:p w:rsidR="00FC4E89" w:rsidRDefault="00FC4E89" w:rsidP="00FC4E89">
    <w:pPr>
      <w:ind w:left="5040" w:firstLine="60"/>
      <w:rPr>
        <w:sz w:val="18"/>
        <w:szCs w:val="18"/>
      </w:rPr>
    </w:pPr>
    <w:r w:rsidRPr="004609D5">
      <w:rPr>
        <w:sz w:val="16"/>
        <w:szCs w:val="16"/>
      </w:rPr>
      <w:t xml:space="preserve">            </w:t>
    </w:r>
    <w:hyperlink r:id="rId1" w:history="1">
      <w:r w:rsidRPr="004609D5">
        <w:rPr>
          <w:rStyle w:val="Hyperlink"/>
          <w:color w:val="auto"/>
          <w:sz w:val="16"/>
          <w:szCs w:val="16"/>
          <w:u w:val="none"/>
        </w:rPr>
        <w:t>www.umw.edu</w:t>
      </w:r>
    </w:hyperlink>
    <w:r>
      <w:rPr>
        <w:sz w:val="16"/>
        <w:szCs w:val="16"/>
      </w:rPr>
      <w:t xml:space="preserve">                                            </w:t>
    </w:r>
    <w:r w:rsidRPr="00D97015">
      <w:rPr>
        <w:sz w:val="18"/>
        <w:szCs w:val="18"/>
      </w:rPr>
      <w:t xml:space="preserve">                                                                            </w:t>
    </w:r>
    <w:r>
      <w:rPr>
        <w:sz w:val="18"/>
        <w:szCs w:val="18"/>
      </w:rPr>
      <w:t xml:space="preserve">                </w:t>
    </w:r>
  </w:p>
  <w:p w:rsidR="00FC4E89" w:rsidRDefault="00FC4E89" w:rsidP="00FC4E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D2" w:rsidRDefault="009035D2" w:rsidP="0045375B">
      <w:r>
        <w:separator/>
      </w:r>
    </w:p>
  </w:footnote>
  <w:footnote w:type="continuationSeparator" w:id="0">
    <w:p w:rsidR="009035D2" w:rsidRDefault="009035D2" w:rsidP="0045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71" w:rsidRPr="00EC3A3F" w:rsidRDefault="00147471" w:rsidP="00147471">
    <w:pPr>
      <w:rPr>
        <w:color w:val="1F497D"/>
        <w:sz w:val="20"/>
        <w:szCs w:val="20"/>
        <w:u w:val="single"/>
      </w:rPr>
    </w:pPr>
    <w:r>
      <w:rPr>
        <w:noProof/>
        <w:color w:val="1F497D"/>
        <w:sz w:val="22"/>
        <w:szCs w:val="22"/>
      </w:rPr>
      <w:drawing>
        <wp:inline distT="0" distB="0" distL="0" distR="0" wp14:anchorId="6E96CAE3" wp14:editId="29F26B17">
          <wp:extent cx="2133600" cy="749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C3A3F">
      <w:rPr>
        <w:color w:val="1F497D"/>
        <w:sz w:val="20"/>
        <w:szCs w:val="20"/>
        <w:u w:val="single"/>
      </w:rPr>
      <w:t xml:space="preserve">                                                                                     Office of Human Resources</w:t>
    </w:r>
  </w:p>
  <w:p w:rsidR="00147471" w:rsidRDefault="00147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B2B"/>
    <w:multiLevelType w:val="hybridMultilevel"/>
    <w:tmpl w:val="3BC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6FE6"/>
    <w:multiLevelType w:val="hybridMultilevel"/>
    <w:tmpl w:val="3160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7DCD"/>
    <w:multiLevelType w:val="hybridMultilevel"/>
    <w:tmpl w:val="D7E8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8EB"/>
    <w:multiLevelType w:val="hybridMultilevel"/>
    <w:tmpl w:val="E0C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0F4E"/>
    <w:multiLevelType w:val="hybridMultilevel"/>
    <w:tmpl w:val="AC32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4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62"/>
    <w:rsid w:val="00000935"/>
    <w:rsid w:val="00010D51"/>
    <w:rsid w:val="00014CEB"/>
    <w:rsid w:val="0001546A"/>
    <w:rsid w:val="0002302B"/>
    <w:rsid w:val="00030E7A"/>
    <w:rsid w:val="00035585"/>
    <w:rsid w:val="0009091A"/>
    <w:rsid w:val="0009443B"/>
    <w:rsid w:val="000B0B4E"/>
    <w:rsid w:val="000E12E5"/>
    <w:rsid w:val="000F1487"/>
    <w:rsid w:val="000F61D3"/>
    <w:rsid w:val="0010785B"/>
    <w:rsid w:val="00107EFE"/>
    <w:rsid w:val="001307C7"/>
    <w:rsid w:val="001326B4"/>
    <w:rsid w:val="00136A3A"/>
    <w:rsid w:val="0014483D"/>
    <w:rsid w:val="00147471"/>
    <w:rsid w:val="0015223D"/>
    <w:rsid w:val="00154487"/>
    <w:rsid w:val="00161402"/>
    <w:rsid w:val="001616FF"/>
    <w:rsid w:val="0016575E"/>
    <w:rsid w:val="001715C4"/>
    <w:rsid w:val="00172842"/>
    <w:rsid w:val="001732F4"/>
    <w:rsid w:val="001737BF"/>
    <w:rsid w:val="00187686"/>
    <w:rsid w:val="001924CB"/>
    <w:rsid w:val="00193F07"/>
    <w:rsid w:val="0019630C"/>
    <w:rsid w:val="001B2978"/>
    <w:rsid w:val="001B43E8"/>
    <w:rsid w:val="001B45B0"/>
    <w:rsid w:val="001C462F"/>
    <w:rsid w:val="001C5457"/>
    <w:rsid w:val="001D1200"/>
    <w:rsid w:val="001D204A"/>
    <w:rsid w:val="001E5CC5"/>
    <w:rsid w:val="001E60FE"/>
    <w:rsid w:val="001F0553"/>
    <w:rsid w:val="00205291"/>
    <w:rsid w:val="00207C2B"/>
    <w:rsid w:val="00212272"/>
    <w:rsid w:val="00230B83"/>
    <w:rsid w:val="00242E37"/>
    <w:rsid w:val="0024445F"/>
    <w:rsid w:val="002554FD"/>
    <w:rsid w:val="00271189"/>
    <w:rsid w:val="00275BAB"/>
    <w:rsid w:val="00283934"/>
    <w:rsid w:val="00284F1B"/>
    <w:rsid w:val="00294CA2"/>
    <w:rsid w:val="002A5F62"/>
    <w:rsid w:val="002C1004"/>
    <w:rsid w:val="002C11C7"/>
    <w:rsid w:val="002C1C01"/>
    <w:rsid w:val="003037ED"/>
    <w:rsid w:val="00320DCC"/>
    <w:rsid w:val="00333A14"/>
    <w:rsid w:val="00336DAA"/>
    <w:rsid w:val="0034252A"/>
    <w:rsid w:val="00352BD1"/>
    <w:rsid w:val="00362A53"/>
    <w:rsid w:val="00383160"/>
    <w:rsid w:val="003866CE"/>
    <w:rsid w:val="00395D9A"/>
    <w:rsid w:val="003A7163"/>
    <w:rsid w:val="003B47FA"/>
    <w:rsid w:val="003B6C05"/>
    <w:rsid w:val="003C05F6"/>
    <w:rsid w:val="003C1268"/>
    <w:rsid w:val="003C14EA"/>
    <w:rsid w:val="003C4730"/>
    <w:rsid w:val="003D1640"/>
    <w:rsid w:val="003D4AF4"/>
    <w:rsid w:val="003D6761"/>
    <w:rsid w:val="003E4DF2"/>
    <w:rsid w:val="003E797E"/>
    <w:rsid w:val="003F3040"/>
    <w:rsid w:val="004028B8"/>
    <w:rsid w:val="0040781C"/>
    <w:rsid w:val="00412683"/>
    <w:rsid w:val="004129E4"/>
    <w:rsid w:val="0041471E"/>
    <w:rsid w:val="0042023F"/>
    <w:rsid w:val="00422896"/>
    <w:rsid w:val="004245F2"/>
    <w:rsid w:val="0045375B"/>
    <w:rsid w:val="004572DA"/>
    <w:rsid w:val="004609D5"/>
    <w:rsid w:val="004763A9"/>
    <w:rsid w:val="00487E09"/>
    <w:rsid w:val="004A4492"/>
    <w:rsid w:val="004A457F"/>
    <w:rsid w:val="004A5276"/>
    <w:rsid w:val="004B1BCE"/>
    <w:rsid w:val="004B534C"/>
    <w:rsid w:val="004C16EC"/>
    <w:rsid w:val="004C35D6"/>
    <w:rsid w:val="004D4B81"/>
    <w:rsid w:val="004E0E60"/>
    <w:rsid w:val="004E19D9"/>
    <w:rsid w:val="004E23AF"/>
    <w:rsid w:val="004E46E5"/>
    <w:rsid w:val="005051F6"/>
    <w:rsid w:val="00515019"/>
    <w:rsid w:val="00535506"/>
    <w:rsid w:val="00546924"/>
    <w:rsid w:val="00551AD5"/>
    <w:rsid w:val="00563ACC"/>
    <w:rsid w:val="00591695"/>
    <w:rsid w:val="005A2134"/>
    <w:rsid w:val="005A74C9"/>
    <w:rsid w:val="005C20DE"/>
    <w:rsid w:val="005E01E2"/>
    <w:rsid w:val="005E3904"/>
    <w:rsid w:val="005F2FE1"/>
    <w:rsid w:val="00601C29"/>
    <w:rsid w:val="006105DA"/>
    <w:rsid w:val="006357FE"/>
    <w:rsid w:val="006562B6"/>
    <w:rsid w:val="00666D1A"/>
    <w:rsid w:val="006674C3"/>
    <w:rsid w:val="00686FB5"/>
    <w:rsid w:val="0068743B"/>
    <w:rsid w:val="0069417B"/>
    <w:rsid w:val="00697323"/>
    <w:rsid w:val="006A59CC"/>
    <w:rsid w:val="006C3997"/>
    <w:rsid w:val="006D2320"/>
    <w:rsid w:val="006D5A87"/>
    <w:rsid w:val="006D71EF"/>
    <w:rsid w:val="00700D00"/>
    <w:rsid w:val="007062BA"/>
    <w:rsid w:val="007067CB"/>
    <w:rsid w:val="00706D05"/>
    <w:rsid w:val="0075180F"/>
    <w:rsid w:val="00766E84"/>
    <w:rsid w:val="007711D5"/>
    <w:rsid w:val="00781668"/>
    <w:rsid w:val="00787AED"/>
    <w:rsid w:val="00795B34"/>
    <w:rsid w:val="007977DD"/>
    <w:rsid w:val="00825BAB"/>
    <w:rsid w:val="00837257"/>
    <w:rsid w:val="008411BA"/>
    <w:rsid w:val="008553F2"/>
    <w:rsid w:val="0087422E"/>
    <w:rsid w:val="008800D7"/>
    <w:rsid w:val="00881252"/>
    <w:rsid w:val="00881D9D"/>
    <w:rsid w:val="00893553"/>
    <w:rsid w:val="008B3B53"/>
    <w:rsid w:val="008B3FFD"/>
    <w:rsid w:val="008C408B"/>
    <w:rsid w:val="008D5DF1"/>
    <w:rsid w:val="008F20D3"/>
    <w:rsid w:val="009035D2"/>
    <w:rsid w:val="00935177"/>
    <w:rsid w:val="0094186D"/>
    <w:rsid w:val="00981A0C"/>
    <w:rsid w:val="00991969"/>
    <w:rsid w:val="009A32D7"/>
    <w:rsid w:val="009C391A"/>
    <w:rsid w:val="009E743B"/>
    <w:rsid w:val="009F2B4E"/>
    <w:rsid w:val="009F5293"/>
    <w:rsid w:val="00A0507F"/>
    <w:rsid w:val="00A078E3"/>
    <w:rsid w:val="00A15161"/>
    <w:rsid w:val="00A278C3"/>
    <w:rsid w:val="00A37507"/>
    <w:rsid w:val="00A378F1"/>
    <w:rsid w:val="00A40E29"/>
    <w:rsid w:val="00A45AAB"/>
    <w:rsid w:val="00A552F9"/>
    <w:rsid w:val="00A566DD"/>
    <w:rsid w:val="00A732E5"/>
    <w:rsid w:val="00A77A1D"/>
    <w:rsid w:val="00A9553C"/>
    <w:rsid w:val="00AB340B"/>
    <w:rsid w:val="00AB5899"/>
    <w:rsid w:val="00AD05D9"/>
    <w:rsid w:val="00AD382C"/>
    <w:rsid w:val="00AD3970"/>
    <w:rsid w:val="00AE5122"/>
    <w:rsid w:val="00AF1600"/>
    <w:rsid w:val="00B040E9"/>
    <w:rsid w:val="00B0624E"/>
    <w:rsid w:val="00B23615"/>
    <w:rsid w:val="00B26E40"/>
    <w:rsid w:val="00B3747E"/>
    <w:rsid w:val="00B56B2E"/>
    <w:rsid w:val="00B67606"/>
    <w:rsid w:val="00B7059B"/>
    <w:rsid w:val="00B77DB6"/>
    <w:rsid w:val="00B9366C"/>
    <w:rsid w:val="00BA5CB1"/>
    <w:rsid w:val="00BB1713"/>
    <w:rsid w:val="00BD4159"/>
    <w:rsid w:val="00BE3BCE"/>
    <w:rsid w:val="00BF216D"/>
    <w:rsid w:val="00C3080E"/>
    <w:rsid w:val="00C31A64"/>
    <w:rsid w:val="00C32837"/>
    <w:rsid w:val="00C551B3"/>
    <w:rsid w:val="00CB37A6"/>
    <w:rsid w:val="00CB39A4"/>
    <w:rsid w:val="00CE231F"/>
    <w:rsid w:val="00D15C54"/>
    <w:rsid w:val="00D24CF7"/>
    <w:rsid w:val="00D32806"/>
    <w:rsid w:val="00D3364F"/>
    <w:rsid w:val="00D33D24"/>
    <w:rsid w:val="00D37EC1"/>
    <w:rsid w:val="00D411DF"/>
    <w:rsid w:val="00D47A6E"/>
    <w:rsid w:val="00D556C6"/>
    <w:rsid w:val="00D61629"/>
    <w:rsid w:val="00D63DA5"/>
    <w:rsid w:val="00D97015"/>
    <w:rsid w:val="00DB3872"/>
    <w:rsid w:val="00DB64F1"/>
    <w:rsid w:val="00DC086E"/>
    <w:rsid w:val="00DC1350"/>
    <w:rsid w:val="00DC4432"/>
    <w:rsid w:val="00DD1998"/>
    <w:rsid w:val="00DD4F1D"/>
    <w:rsid w:val="00DE21B1"/>
    <w:rsid w:val="00DE3428"/>
    <w:rsid w:val="00DE5D08"/>
    <w:rsid w:val="00DF0C29"/>
    <w:rsid w:val="00E0246F"/>
    <w:rsid w:val="00E0315E"/>
    <w:rsid w:val="00E05EBD"/>
    <w:rsid w:val="00E15A2F"/>
    <w:rsid w:val="00E16150"/>
    <w:rsid w:val="00E2090C"/>
    <w:rsid w:val="00E37717"/>
    <w:rsid w:val="00E70B70"/>
    <w:rsid w:val="00E80FD6"/>
    <w:rsid w:val="00E81407"/>
    <w:rsid w:val="00E94045"/>
    <w:rsid w:val="00EB00A3"/>
    <w:rsid w:val="00EC3919"/>
    <w:rsid w:val="00EC3A3F"/>
    <w:rsid w:val="00EC4151"/>
    <w:rsid w:val="00EC4A86"/>
    <w:rsid w:val="00EE1AA5"/>
    <w:rsid w:val="00EE5C60"/>
    <w:rsid w:val="00EF0597"/>
    <w:rsid w:val="00EF0A4A"/>
    <w:rsid w:val="00EF7011"/>
    <w:rsid w:val="00F14D8E"/>
    <w:rsid w:val="00F17EC5"/>
    <w:rsid w:val="00F21BBD"/>
    <w:rsid w:val="00F44458"/>
    <w:rsid w:val="00F50B1C"/>
    <w:rsid w:val="00F5322F"/>
    <w:rsid w:val="00F66C51"/>
    <w:rsid w:val="00F73233"/>
    <w:rsid w:val="00F74E74"/>
    <w:rsid w:val="00FA12A9"/>
    <w:rsid w:val="00FA30ED"/>
    <w:rsid w:val="00FA7E3F"/>
    <w:rsid w:val="00FB1440"/>
    <w:rsid w:val="00FC2F66"/>
    <w:rsid w:val="00FC39AE"/>
    <w:rsid w:val="00FC4E89"/>
    <w:rsid w:val="00FC54A8"/>
    <w:rsid w:val="00FC7CE1"/>
    <w:rsid w:val="00FD7AEB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2B4E"/>
    <w:rPr>
      <w:color w:val="0000FF"/>
      <w:u w:val="single"/>
    </w:rPr>
  </w:style>
  <w:style w:type="paragraph" w:styleId="Header">
    <w:name w:val="header"/>
    <w:basedOn w:val="Normal"/>
    <w:link w:val="HeaderChar"/>
    <w:rsid w:val="004537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375B"/>
    <w:rPr>
      <w:sz w:val="24"/>
      <w:szCs w:val="24"/>
    </w:rPr>
  </w:style>
  <w:style w:type="paragraph" w:styleId="Footer">
    <w:name w:val="footer"/>
    <w:basedOn w:val="Normal"/>
    <w:link w:val="FooterChar"/>
    <w:rsid w:val="004537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375B"/>
    <w:rPr>
      <w:sz w:val="24"/>
      <w:szCs w:val="24"/>
    </w:rPr>
  </w:style>
  <w:style w:type="paragraph" w:styleId="BalloonText">
    <w:name w:val="Balloon Text"/>
    <w:basedOn w:val="Normal"/>
    <w:link w:val="BalloonTextChar"/>
    <w:rsid w:val="0068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4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D41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4159"/>
  </w:style>
  <w:style w:type="paragraph" w:styleId="CommentSubject">
    <w:name w:val="annotation subject"/>
    <w:basedOn w:val="CommentText"/>
    <w:next w:val="CommentText"/>
    <w:link w:val="CommentSubjectChar"/>
    <w:rsid w:val="00BD4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159"/>
    <w:rPr>
      <w:b/>
      <w:bCs/>
    </w:rPr>
  </w:style>
  <w:style w:type="character" w:styleId="FollowedHyperlink">
    <w:name w:val="FollowedHyperlink"/>
    <w:basedOn w:val="DefaultParagraphFont"/>
    <w:rsid w:val="005150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2B4E"/>
    <w:rPr>
      <w:color w:val="0000FF"/>
      <w:u w:val="single"/>
    </w:rPr>
  </w:style>
  <w:style w:type="paragraph" w:styleId="Header">
    <w:name w:val="header"/>
    <w:basedOn w:val="Normal"/>
    <w:link w:val="HeaderChar"/>
    <w:rsid w:val="004537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375B"/>
    <w:rPr>
      <w:sz w:val="24"/>
      <w:szCs w:val="24"/>
    </w:rPr>
  </w:style>
  <w:style w:type="paragraph" w:styleId="Footer">
    <w:name w:val="footer"/>
    <w:basedOn w:val="Normal"/>
    <w:link w:val="FooterChar"/>
    <w:rsid w:val="004537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375B"/>
    <w:rPr>
      <w:sz w:val="24"/>
      <w:szCs w:val="24"/>
    </w:rPr>
  </w:style>
  <w:style w:type="paragraph" w:styleId="BalloonText">
    <w:name w:val="Balloon Text"/>
    <w:basedOn w:val="Normal"/>
    <w:link w:val="BalloonTextChar"/>
    <w:rsid w:val="0068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4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D41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4159"/>
  </w:style>
  <w:style w:type="paragraph" w:styleId="CommentSubject">
    <w:name w:val="annotation subject"/>
    <w:basedOn w:val="CommentText"/>
    <w:next w:val="CommentText"/>
    <w:link w:val="CommentSubjectChar"/>
    <w:rsid w:val="00BD4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159"/>
    <w:rPr>
      <w:b/>
      <w:bCs/>
    </w:rPr>
  </w:style>
  <w:style w:type="character" w:styleId="FollowedHyperlink">
    <w:name w:val="FollowedHyperlink"/>
    <w:basedOn w:val="DefaultParagraphFont"/>
    <w:rsid w:val="00515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hrm.virginia.gov/employmentdisputeresolution/grievanceprocedu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1387-3BAA-42A3-8284-726D46EF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13, 2007</vt:lpstr>
    </vt:vector>
  </TitlesOfParts>
  <Company>Mary Washington College</Company>
  <LinksUpToDate>false</LinksUpToDate>
  <CharactersWithSpaces>1858</CharactersWithSpaces>
  <SharedDoc>false</SharedDoc>
  <HLinks>
    <vt:vector size="6" baseType="variant"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http://www.umw.edu/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13, 2007</dc:title>
  <dc:creator>Tammy Prailey</dc:creator>
  <cp:lastModifiedBy>Administrator</cp:lastModifiedBy>
  <cp:revision>3</cp:revision>
  <cp:lastPrinted>2012-09-18T15:00:00Z</cp:lastPrinted>
  <dcterms:created xsi:type="dcterms:W3CDTF">2015-08-12T18:45:00Z</dcterms:created>
  <dcterms:modified xsi:type="dcterms:W3CDTF">2015-08-12T18:48:00Z</dcterms:modified>
</cp:coreProperties>
</file>