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3B" w:rsidRDefault="00B56F3B" w:rsidP="0030471F">
      <w:pPr>
        <w:rPr>
          <w:rFonts w:ascii="Arial" w:hAnsi="Arial" w:cs="Arial"/>
          <w:sz w:val="24"/>
          <w:szCs w:val="24"/>
        </w:rPr>
      </w:pPr>
      <w:r>
        <w:rPr>
          <w:rFonts w:ascii="Arial" w:hAnsi="Arial" w:cs="Arial"/>
          <w:sz w:val="24"/>
          <w:szCs w:val="24"/>
        </w:rPr>
        <w:t xml:space="preserve">State </w:t>
      </w:r>
      <w:r w:rsidRPr="00B56F3B">
        <w:rPr>
          <w:rFonts w:ascii="Arial" w:hAnsi="Arial" w:cs="Arial"/>
          <w:sz w:val="24"/>
          <w:szCs w:val="24"/>
        </w:rPr>
        <w:t xml:space="preserve">policy information can be obtained from the Department of Human Resources: </w:t>
      </w:r>
      <w:hyperlink r:id="rId8" w:history="1">
        <w:r w:rsidR="0030471F" w:rsidRPr="00B56F3B">
          <w:rPr>
            <w:rStyle w:val="Hyperlink"/>
            <w:rFonts w:ascii="Arial" w:hAnsi="Arial" w:cs="Arial"/>
            <w:sz w:val="24"/>
            <w:szCs w:val="24"/>
          </w:rPr>
          <w:t>http://www.dhrm.virginia.gov/hrpolicies</w:t>
        </w:r>
      </w:hyperlink>
      <w:r w:rsidRPr="00B56F3B">
        <w:rPr>
          <w:rFonts w:ascii="Arial" w:hAnsi="Arial" w:cs="Arial"/>
          <w:sz w:val="24"/>
          <w:szCs w:val="24"/>
        </w:rPr>
        <w:t xml:space="preserve">. </w:t>
      </w:r>
    </w:p>
    <w:p w:rsidR="0030471F" w:rsidRDefault="00B56F3B" w:rsidP="0030471F">
      <w:pPr>
        <w:rPr>
          <w:rFonts w:ascii="Arial" w:eastAsia="Times New Roman" w:hAnsi="Arial" w:cs="Arial"/>
          <w:bCs/>
          <w:color w:val="000066"/>
          <w:kern w:val="36"/>
          <w:sz w:val="24"/>
          <w:szCs w:val="24"/>
        </w:rPr>
      </w:pPr>
      <w:r>
        <w:rPr>
          <w:rFonts w:ascii="Arial" w:hAnsi="Arial" w:cs="Arial"/>
          <w:sz w:val="24"/>
          <w:szCs w:val="24"/>
        </w:rPr>
        <w:t>UMW Tuition Assistance policy</w:t>
      </w:r>
      <w:r w:rsidR="008007CE">
        <w:rPr>
          <w:rFonts w:ascii="Arial" w:hAnsi="Arial" w:cs="Arial"/>
          <w:sz w:val="24"/>
          <w:szCs w:val="24"/>
        </w:rPr>
        <w:t xml:space="preserve"> is available here</w:t>
      </w:r>
      <w:r>
        <w:rPr>
          <w:rFonts w:ascii="Arial" w:hAnsi="Arial" w:cs="Arial"/>
          <w:sz w:val="24"/>
          <w:szCs w:val="24"/>
        </w:rPr>
        <w:t xml:space="preserve">: </w:t>
      </w:r>
      <w:hyperlink r:id="rId9" w:history="1">
        <w:r w:rsidRPr="0002211E">
          <w:rPr>
            <w:rStyle w:val="Hyperlink"/>
            <w:rFonts w:ascii="Arial" w:eastAsia="Times New Roman" w:hAnsi="Arial" w:cs="Arial"/>
            <w:bCs/>
            <w:kern w:val="36"/>
            <w:sz w:val="24"/>
            <w:szCs w:val="24"/>
          </w:rPr>
          <w:t>http://adminfinance.umw.edu/hr/benefits/benefits-forms/tuition-assistance</w:t>
        </w:r>
      </w:hyperlink>
    </w:p>
    <w:p w:rsidR="00B56F3B" w:rsidRPr="00B56F3B" w:rsidRDefault="00B56F3B" w:rsidP="0030471F">
      <w:pPr>
        <w:rPr>
          <w:rFonts w:ascii="Arial" w:hAnsi="Arial" w:cs="Arial"/>
          <w:sz w:val="24"/>
          <w:szCs w:val="24"/>
        </w:rPr>
      </w:pPr>
    </w:p>
    <w:tbl>
      <w:tblPr>
        <w:tblW w:w="4918" w:type="pct"/>
        <w:jc w:val="center"/>
        <w:tblCellSpacing w:w="15" w:type="dxa"/>
        <w:tblInd w:w="-8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70"/>
      </w:tblGrid>
      <w:tr w:rsidR="00A77A7A" w:rsidTr="00B56F3B">
        <w:trPr>
          <w:tblCellSpacing w:w="15" w:type="dxa"/>
          <w:jc w:val="center"/>
        </w:trPr>
        <w:tc>
          <w:tcPr>
            <w:tcW w:w="4972" w:type="pct"/>
            <w:tcBorders>
              <w:top w:val="single" w:sz="6" w:space="0" w:color="000066"/>
              <w:left w:val="single" w:sz="6" w:space="0" w:color="000066"/>
              <w:bottom w:val="single" w:sz="6" w:space="0" w:color="000066"/>
              <w:right w:val="single" w:sz="6" w:space="0" w:color="000066"/>
            </w:tcBorders>
            <w:vAlign w:val="center"/>
            <w:hideMark/>
          </w:tcPr>
          <w:p w:rsidR="00A77A7A" w:rsidRDefault="006526D6">
            <w:pPr>
              <w:spacing w:before="100" w:beforeAutospacing="1" w:after="100" w:afterAutospacing="1"/>
              <w:jc w:val="center"/>
              <w:outlineLvl w:val="0"/>
              <w:rPr>
                <w:rFonts w:ascii="Arial" w:eastAsia="Times New Roman" w:hAnsi="Arial" w:cs="Arial"/>
                <w:b/>
                <w:bCs/>
                <w:color w:val="000066"/>
                <w:kern w:val="36"/>
                <w:sz w:val="27"/>
                <w:szCs w:val="27"/>
              </w:rPr>
            </w:pPr>
            <w:r>
              <w:rPr>
                <w:rFonts w:ascii="Arial" w:eastAsia="Times New Roman" w:hAnsi="Arial" w:cs="Arial"/>
                <w:b/>
                <w:bCs/>
                <w:color w:val="000066"/>
                <w:kern w:val="36"/>
                <w:sz w:val="27"/>
                <w:szCs w:val="27"/>
              </w:rPr>
              <w:t xml:space="preserve">DHRM </w:t>
            </w:r>
            <w:r w:rsidR="00A77A7A">
              <w:rPr>
                <w:rFonts w:ascii="Arial" w:eastAsia="Times New Roman" w:hAnsi="Arial" w:cs="Arial"/>
                <w:b/>
                <w:bCs/>
                <w:color w:val="000066"/>
                <w:kern w:val="36"/>
                <w:sz w:val="27"/>
                <w:szCs w:val="27"/>
              </w:rPr>
              <w:t xml:space="preserve">Policy Number: 4.05 - Civil and Work-Related Leave </w:t>
            </w:r>
            <w:r w:rsidR="00A77A7A">
              <w:rPr>
                <w:rFonts w:ascii="Arial" w:eastAsia="Times New Roman" w:hAnsi="Arial" w:cs="Arial"/>
                <w:b/>
                <w:bCs/>
                <w:color w:val="000066"/>
                <w:kern w:val="36"/>
                <w:sz w:val="27"/>
                <w:szCs w:val="27"/>
              </w:rPr>
              <w:br/>
            </w:r>
            <w:proofErr w:type="spellStart"/>
            <w:r w:rsidR="00A77A7A">
              <w:rPr>
                <w:rFonts w:ascii="Arial" w:eastAsia="Times New Roman" w:hAnsi="Arial" w:cs="Arial"/>
                <w:b/>
                <w:bCs/>
                <w:color w:val="000066"/>
                <w:kern w:val="36"/>
                <w:sz w:val="24"/>
                <w:szCs w:val="24"/>
              </w:rPr>
              <w:t>Efft</w:t>
            </w:r>
            <w:proofErr w:type="spellEnd"/>
            <w:r w:rsidR="00A77A7A">
              <w:rPr>
                <w:rFonts w:ascii="Arial" w:eastAsia="Times New Roman" w:hAnsi="Arial" w:cs="Arial"/>
                <w:b/>
                <w:bCs/>
                <w:color w:val="000066"/>
                <w:kern w:val="36"/>
                <w:sz w:val="24"/>
                <w:szCs w:val="24"/>
              </w:rPr>
              <w:t xml:space="preserve">. Date: 9/16/93 - Rev. Date: 6/10/07 </w:t>
            </w:r>
          </w:p>
        </w:tc>
      </w:tr>
      <w:tr w:rsidR="00A77A7A" w:rsidTr="00B56F3B">
        <w:trPr>
          <w:tblCellSpacing w:w="15" w:type="dxa"/>
          <w:jc w:val="center"/>
        </w:trPr>
        <w:tc>
          <w:tcPr>
            <w:tcW w:w="4972" w:type="pct"/>
            <w:tcBorders>
              <w:top w:val="single" w:sz="6" w:space="0" w:color="000066"/>
              <w:left w:val="single" w:sz="6" w:space="0" w:color="000066"/>
              <w:bottom w:val="single" w:sz="6" w:space="0" w:color="000066"/>
              <w:right w:val="single" w:sz="6" w:space="0" w:color="000066"/>
            </w:tcBorders>
            <w:vAlign w:val="center"/>
            <w:hideMark/>
          </w:tcPr>
          <w:p w:rsidR="00A77A7A" w:rsidRDefault="00A77A7A">
            <w:pPr>
              <w:jc w:val="center"/>
              <w:rPr>
                <w:rFonts w:ascii="Arial" w:eastAsia="Times New Roman" w:hAnsi="Arial" w:cs="Arial"/>
                <w:sz w:val="24"/>
                <w:szCs w:val="24"/>
              </w:rPr>
            </w:pPr>
            <w:r>
              <w:rPr>
                <w:rFonts w:ascii="Arial" w:eastAsia="Times New Roman" w:hAnsi="Arial" w:cs="Arial"/>
                <w:sz w:val="24"/>
                <w:szCs w:val="24"/>
              </w:rPr>
              <w:t xml:space="preserve">Application: </w:t>
            </w:r>
            <w:r>
              <w:rPr>
                <w:rFonts w:ascii="Arial" w:eastAsia="Times New Roman" w:hAnsi="Arial" w:cs="Arial"/>
                <w:i/>
                <w:iCs/>
                <w:sz w:val="24"/>
                <w:szCs w:val="24"/>
              </w:rPr>
              <w:t>Covered employees.</w:t>
            </w:r>
          </w:p>
        </w:tc>
      </w:tr>
      <w:tr w:rsidR="00A77A7A" w:rsidTr="00B56F3B">
        <w:trPr>
          <w:tblCellSpacing w:w="15" w:type="dxa"/>
          <w:jc w:val="center"/>
        </w:trPr>
        <w:tc>
          <w:tcPr>
            <w:tcW w:w="4972" w:type="pct"/>
            <w:tcBorders>
              <w:top w:val="single" w:sz="6" w:space="0" w:color="000066"/>
              <w:left w:val="single" w:sz="6" w:space="0" w:color="000066"/>
              <w:bottom w:val="single" w:sz="6" w:space="0" w:color="000066"/>
              <w:right w:val="single" w:sz="6" w:space="0" w:color="000066"/>
            </w:tcBorders>
            <w:shd w:val="clear" w:color="auto" w:fill="6699CC"/>
            <w:vAlign w:val="center"/>
            <w:hideMark/>
          </w:tcPr>
          <w:p w:rsidR="00A77A7A" w:rsidRDefault="00A77A7A">
            <w:pPr>
              <w:jc w:val="center"/>
              <w:rPr>
                <w:rFonts w:ascii="Arial" w:eastAsia="Times New Roman" w:hAnsi="Arial" w:cs="Arial"/>
                <w:b/>
                <w:bCs/>
                <w:caps/>
                <w:color w:val="003399"/>
                <w:sz w:val="27"/>
                <w:szCs w:val="27"/>
              </w:rPr>
            </w:pPr>
            <w:r>
              <w:rPr>
                <w:rFonts w:ascii="Arial" w:eastAsia="Times New Roman" w:hAnsi="Arial" w:cs="Arial"/>
                <w:b/>
                <w:bCs/>
                <w:caps/>
                <w:color w:val="003399"/>
                <w:sz w:val="27"/>
                <w:szCs w:val="27"/>
              </w:rPr>
              <w:t>PURPOSE</w:t>
            </w:r>
          </w:p>
        </w:tc>
      </w:tr>
      <w:tr w:rsidR="00A77A7A" w:rsidTr="00B56F3B">
        <w:trPr>
          <w:tblCellSpacing w:w="15" w:type="dxa"/>
          <w:jc w:val="center"/>
        </w:trPr>
        <w:tc>
          <w:tcPr>
            <w:tcW w:w="4972" w:type="pct"/>
            <w:tcBorders>
              <w:top w:val="single" w:sz="6" w:space="0" w:color="000066"/>
              <w:left w:val="single" w:sz="6" w:space="0" w:color="000066"/>
              <w:bottom w:val="single" w:sz="6" w:space="0" w:color="000066"/>
              <w:right w:val="single" w:sz="6" w:space="0" w:color="000066"/>
            </w:tcBorders>
            <w:hideMark/>
          </w:tcPr>
          <w:p w:rsidR="00A77A7A" w:rsidRDefault="00A77A7A">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This policy provides guidelines to agencies for granting paid and/or unpaid leave time to employees who are performing certain civic duties, and to employees who are participating in the formal resolution of workplace conflicts and certain other work-related activities.</w:t>
            </w:r>
          </w:p>
        </w:tc>
      </w:tr>
    </w:tbl>
    <w:p w:rsidR="00A77A7A" w:rsidRDefault="00A77A7A"/>
    <w:p w:rsidR="0030471F" w:rsidRDefault="0030471F">
      <w:bookmarkStart w:id="0" w:name="_GoBack"/>
      <w:bookmarkEnd w:id="0"/>
    </w:p>
    <w:tbl>
      <w:tblPr>
        <w:tblW w:w="4776" w:type="pct"/>
        <w:jc w:val="center"/>
        <w:tblCellSpacing w:w="15" w:type="dxa"/>
        <w:tblInd w:w="-76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59"/>
      </w:tblGrid>
      <w:tr w:rsidR="00A77A7A" w:rsidTr="0030471F">
        <w:trPr>
          <w:tblCellSpacing w:w="15" w:type="dxa"/>
          <w:jc w:val="center"/>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A77A7A" w:rsidRDefault="006526D6">
            <w:pPr>
              <w:spacing w:before="100" w:beforeAutospacing="1" w:after="100" w:afterAutospacing="1"/>
              <w:jc w:val="center"/>
              <w:outlineLvl w:val="0"/>
              <w:rPr>
                <w:rFonts w:ascii="Arial" w:eastAsia="Times New Roman" w:hAnsi="Arial" w:cs="Arial"/>
                <w:b/>
                <w:bCs/>
                <w:color w:val="000066"/>
                <w:kern w:val="36"/>
                <w:sz w:val="27"/>
                <w:szCs w:val="27"/>
              </w:rPr>
            </w:pPr>
            <w:r>
              <w:rPr>
                <w:rFonts w:ascii="Arial" w:eastAsia="Times New Roman" w:hAnsi="Arial" w:cs="Arial"/>
                <w:b/>
                <w:bCs/>
                <w:color w:val="000066"/>
                <w:kern w:val="36"/>
                <w:sz w:val="27"/>
                <w:szCs w:val="27"/>
              </w:rPr>
              <w:t xml:space="preserve">DHRM </w:t>
            </w:r>
            <w:r w:rsidR="00A77A7A">
              <w:rPr>
                <w:rFonts w:ascii="Arial" w:eastAsia="Times New Roman" w:hAnsi="Arial" w:cs="Arial"/>
                <w:b/>
                <w:bCs/>
                <w:color w:val="000066"/>
                <w:kern w:val="36"/>
                <w:sz w:val="27"/>
                <w:szCs w:val="27"/>
              </w:rPr>
              <w:t xml:space="preserve">Policy Number: 4.17 - Emergency Disaster Leave </w:t>
            </w:r>
            <w:r w:rsidR="00A77A7A">
              <w:rPr>
                <w:rFonts w:ascii="Arial" w:eastAsia="Times New Roman" w:hAnsi="Arial" w:cs="Arial"/>
                <w:b/>
                <w:bCs/>
                <w:color w:val="000066"/>
                <w:kern w:val="36"/>
                <w:sz w:val="27"/>
                <w:szCs w:val="27"/>
              </w:rPr>
              <w:br/>
            </w:r>
            <w:proofErr w:type="spellStart"/>
            <w:r w:rsidR="00A77A7A">
              <w:rPr>
                <w:rFonts w:ascii="Arial" w:eastAsia="Times New Roman" w:hAnsi="Arial" w:cs="Arial"/>
                <w:b/>
                <w:bCs/>
                <w:color w:val="000066"/>
                <w:kern w:val="36"/>
                <w:sz w:val="24"/>
                <w:szCs w:val="24"/>
              </w:rPr>
              <w:t>Efft</w:t>
            </w:r>
            <w:proofErr w:type="spellEnd"/>
            <w:r w:rsidR="00A77A7A">
              <w:rPr>
                <w:rFonts w:ascii="Arial" w:eastAsia="Times New Roman" w:hAnsi="Arial" w:cs="Arial"/>
                <w:b/>
                <w:bCs/>
                <w:color w:val="000066"/>
                <w:kern w:val="36"/>
                <w:sz w:val="24"/>
                <w:szCs w:val="24"/>
              </w:rPr>
              <w:t xml:space="preserve">. Date: 9/25/03 </w:t>
            </w:r>
          </w:p>
        </w:tc>
      </w:tr>
      <w:tr w:rsidR="00A77A7A" w:rsidTr="0030471F">
        <w:trPr>
          <w:tblCellSpacing w:w="15" w:type="dxa"/>
          <w:jc w:val="center"/>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A77A7A" w:rsidRDefault="00A77A7A">
            <w:pPr>
              <w:jc w:val="center"/>
              <w:rPr>
                <w:rFonts w:ascii="Arial" w:eastAsia="Times New Roman" w:hAnsi="Arial" w:cs="Arial"/>
                <w:sz w:val="24"/>
                <w:szCs w:val="24"/>
              </w:rPr>
            </w:pPr>
            <w:r>
              <w:rPr>
                <w:rFonts w:ascii="Arial" w:eastAsia="Times New Roman" w:hAnsi="Arial" w:cs="Arial"/>
                <w:sz w:val="24"/>
                <w:szCs w:val="24"/>
              </w:rPr>
              <w:t>Application:  </w:t>
            </w:r>
            <w:r>
              <w:rPr>
                <w:rFonts w:ascii="Arial" w:eastAsia="Times New Roman" w:hAnsi="Arial" w:cs="Arial"/>
                <w:i/>
                <w:iCs/>
                <w:sz w:val="24"/>
                <w:szCs w:val="24"/>
              </w:rPr>
              <w:t>Full-time and part-time classified employees.</w:t>
            </w:r>
          </w:p>
        </w:tc>
      </w:tr>
      <w:tr w:rsidR="00A77A7A" w:rsidTr="0030471F">
        <w:trPr>
          <w:tblCellSpacing w:w="15" w:type="dxa"/>
          <w:jc w:val="center"/>
        </w:trPr>
        <w:tc>
          <w:tcPr>
            <w:tcW w:w="4969" w:type="pct"/>
            <w:tcBorders>
              <w:top w:val="single" w:sz="6" w:space="0" w:color="000066"/>
              <w:left w:val="single" w:sz="6" w:space="0" w:color="000066"/>
              <w:bottom w:val="single" w:sz="6" w:space="0" w:color="000066"/>
              <w:right w:val="single" w:sz="6" w:space="0" w:color="000066"/>
            </w:tcBorders>
            <w:shd w:val="clear" w:color="auto" w:fill="6699CC"/>
            <w:vAlign w:val="center"/>
            <w:hideMark/>
          </w:tcPr>
          <w:p w:rsidR="00A77A7A" w:rsidRDefault="00A77A7A">
            <w:pPr>
              <w:jc w:val="center"/>
              <w:rPr>
                <w:rFonts w:ascii="Arial" w:eastAsia="Times New Roman" w:hAnsi="Arial" w:cs="Arial"/>
                <w:b/>
                <w:bCs/>
                <w:caps/>
                <w:color w:val="003399"/>
                <w:sz w:val="27"/>
                <w:szCs w:val="27"/>
              </w:rPr>
            </w:pPr>
            <w:r>
              <w:rPr>
                <w:rFonts w:ascii="Arial" w:eastAsia="Times New Roman" w:hAnsi="Arial" w:cs="Arial"/>
                <w:b/>
                <w:bCs/>
                <w:caps/>
                <w:color w:val="003399"/>
                <w:sz w:val="27"/>
                <w:szCs w:val="27"/>
              </w:rPr>
              <w:t>PURPOSE</w:t>
            </w:r>
          </w:p>
        </w:tc>
      </w:tr>
      <w:tr w:rsidR="00A77A7A" w:rsidTr="0030471F">
        <w:trPr>
          <w:tblCellSpacing w:w="15" w:type="dxa"/>
          <w:jc w:val="center"/>
        </w:trPr>
        <w:tc>
          <w:tcPr>
            <w:tcW w:w="4969" w:type="pct"/>
            <w:tcBorders>
              <w:top w:val="single" w:sz="6" w:space="0" w:color="000066"/>
              <w:left w:val="single" w:sz="6" w:space="0" w:color="000066"/>
              <w:bottom w:val="single" w:sz="6" w:space="0" w:color="000066"/>
              <w:right w:val="single" w:sz="6" w:space="0" w:color="000066"/>
            </w:tcBorders>
            <w:hideMark/>
          </w:tcPr>
          <w:p w:rsidR="00A77A7A" w:rsidRDefault="00A77A7A">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This policy permits agencies to grant up to 80 hours of paid leave annually to qualifying employees who are called away from their regular jobs to provide specific kinds of emergency services during defined times of state and/or national disaster. This policy also permits agencies to grant up to 80 hours of paid leave annually to employees who are victims of disasters that meet the criteria specified in this policy.</w:t>
            </w:r>
          </w:p>
        </w:tc>
      </w:tr>
    </w:tbl>
    <w:p w:rsidR="00A77A7A" w:rsidRDefault="00A77A7A"/>
    <w:p w:rsidR="0030471F" w:rsidRDefault="0030471F"/>
    <w:tbl>
      <w:tblPr>
        <w:tblW w:w="4765"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35"/>
      </w:tblGrid>
      <w:tr w:rsidR="00A77A7A" w:rsidRPr="00A77A7A" w:rsidTr="00B56F3B">
        <w:trPr>
          <w:tblCellSpacing w:w="15" w:type="dxa"/>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A77A7A" w:rsidRPr="00A77A7A" w:rsidRDefault="0030471F" w:rsidP="00A77A7A">
            <w:pPr>
              <w:spacing w:before="100" w:beforeAutospacing="1" w:after="100" w:afterAutospacing="1"/>
              <w:jc w:val="center"/>
              <w:outlineLvl w:val="0"/>
              <w:rPr>
                <w:rFonts w:ascii="Arial" w:eastAsia="Times New Roman" w:hAnsi="Arial" w:cs="Arial"/>
                <w:b/>
                <w:bCs/>
                <w:color w:val="000066"/>
                <w:kern w:val="36"/>
                <w:sz w:val="27"/>
                <w:szCs w:val="27"/>
              </w:rPr>
            </w:pPr>
            <w:r>
              <w:rPr>
                <w:rFonts w:ascii="Arial" w:eastAsia="Times New Roman" w:hAnsi="Arial" w:cs="Arial"/>
                <w:b/>
                <w:bCs/>
                <w:color w:val="000066"/>
                <w:kern w:val="36"/>
                <w:sz w:val="27"/>
                <w:szCs w:val="27"/>
              </w:rPr>
              <w:t xml:space="preserve">DHRM </w:t>
            </w:r>
            <w:r w:rsidR="00A77A7A" w:rsidRPr="00A77A7A">
              <w:rPr>
                <w:rFonts w:ascii="Arial" w:eastAsia="Times New Roman" w:hAnsi="Arial" w:cs="Arial"/>
                <w:b/>
                <w:bCs/>
                <w:color w:val="000066"/>
                <w:kern w:val="36"/>
                <w:sz w:val="27"/>
                <w:szCs w:val="27"/>
              </w:rPr>
              <w:t xml:space="preserve">Policy Number: 4.37 - Leave To Donate Bone Marrow or Organs </w:t>
            </w:r>
            <w:r w:rsidR="00A77A7A" w:rsidRPr="00A77A7A">
              <w:rPr>
                <w:rFonts w:ascii="Arial" w:eastAsia="Times New Roman" w:hAnsi="Arial" w:cs="Arial"/>
                <w:b/>
                <w:bCs/>
                <w:color w:val="000066"/>
                <w:kern w:val="36"/>
                <w:sz w:val="27"/>
                <w:szCs w:val="27"/>
              </w:rPr>
              <w:br/>
            </w:r>
            <w:proofErr w:type="spellStart"/>
            <w:r w:rsidR="00A77A7A" w:rsidRPr="00A77A7A">
              <w:rPr>
                <w:rFonts w:ascii="Arial" w:eastAsia="Times New Roman" w:hAnsi="Arial" w:cs="Arial"/>
                <w:b/>
                <w:bCs/>
                <w:color w:val="000066"/>
                <w:kern w:val="36"/>
                <w:sz w:val="24"/>
                <w:szCs w:val="24"/>
              </w:rPr>
              <w:t>Efft</w:t>
            </w:r>
            <w:proofErr w:type="spellEnd"/>
            <w:r w:rsidR="00A77A7A" w:rsidRPr="00A77A7A">
              <w:rPr>
                <w:rFonts w:ascii="Arial" w:eastAsia="Times New Roman" w:hAnsi="Arial" w:cs="Arial"/>
                <w:b/>
                <w:bCs/>
                <w:color w:val="000066"/>
                <w:kern w:val="36"/>
                <w:sz w:val="24"/>
                <w:szCs w:val="24"/>
              </w:rPr>
              <w:t xml:space="preserve">. Date: 7/01/01 </w:t>
            </w:r>
          </w:p>
        </w:tc>
      </w:tr>
      <w:tr w:rsidR="00A77A7A" w:rsidRPr="00A77A7A" w:rsidTr="00B56F3B">
        <w:trPr>
          <w:tblCellSpacing w:w="15" w:type="dxa"/>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A77A7A" w:rsidRPr="00A77A7A" w:rsidRDefault="00A77A7A" w:rsidP="00A77A7A">
            <w:pPr>
              <w:jc w:val="center"/>
              <w:rPr>
                <w:rFonts w:ascii="Arial" w:eastAsia="Times New Roman" w:hAnsi="Arial" w:cs="Arial"/>
                <w:sz w:val="24"/>
                <w:szCs w:val="24"/>
              </w:rPr>
            </w:pPr>
            <w:r w:rsidRPr="00A77A7A">
              <w:rPr>
                <w:rFonts w:ascii="Arial" w:eastAsia="Times New Roman" w:hAnsi="Arial" w:cs="Arial"/>
                <w:sz w:val="24"/>
                <w:szCs w:val="24"/>
              </w:rPr>
              <w:t>Application:</w:t>
            </w:r>
            <w:r w:rsidRPr="00A77A7A">
              <w:rPr>
                <w:rFonts w:ascii="Arial" w:eastAsia="Times New Roman" w:hAnsi="Arial" w:cs="Arial"/>
                <w:i/>
                <w:iCs/>
                <w:sz w:val="24"/>
                <w:szCs w:val="24"/>
              </w:rPr>
              <w:t> Full-time classified non-probationary employees and "at will" employees</w:t>
            </w:r>
          </w:p>
        </w:tc>
      </w:tr>
      <w:tr w:rsidR="00A77A7A" w:rsidRPr="00A77A7A" w:rsidTr="00B56F3B">
        <w:trPr>
          <w:tblCellSpacing w:w="15" w:type="dxa"/>
        </w:trPr>
        <w:tc>
          <w:tcPr>
            <w:tcW w:w="4969" w:type="pct"/>
            <w:tcBorders>
              <w:top w:val="single" w:sz="6" w:space="0" w:color="000066"/>
              <w:left w:val="single" w:sz="6" w:space="0" w:color="000066"/>
              <w:bottom w:val="single" w:sz="6" w:space="0" w:color="000066"/>
              <w:right w:val="single" w:sz="6" w:space="0" w:color="000066"/>
            </w:tcBorders>
            <w:shd w:val="clear" w:color="auto" w:fill="6699CC"/>
            <w:vAlign w:val="center"/>
            <w:hideMark/>
          </w:tcPr>
          <w:p w:rsidR="00A77A7A" w:rsidRPr="00A77A7A" w:rsidRDefault="00A77A7A" w:rsidP="00A77A7A">
            <w:pPr>
              <w:jc w:val="center"/>
              <w:rPr>
                <w:rFonts w:ascii="Arial" w:eastAsia="Times New Roman" w:hAnsi="Arial" w:cs="Arial"/>
                <w:b/>
                <w:bCs/>
                <w:caps/>
                <w:color w:val="003399"/>
                <w:sz w:val="27"/>
                <w:szCs w:val="27"/>
              </w:rPr>
            </w:pPr>
            <w:r w:rsidRPr="00A77A7A">
              <w:rPr>
                <w:rFonts w:ascii="Arial" w:eastAsia="Times New Roman" w:hAnsi="Arial" w:cs="Arial"/>
                <w:b/>
                <w:bCs/>
                <w:caps/>
                <w:color w:val="003399"/>
                <w:sz w:val="27"/>
                <w:szCs w:val="27"/>
              </w:rPr>
              <w:t>PURPOSE</w:t>
            </w:r>
          </w:p>
        </w:tc>
      </w:tr>
      <w:tr w:rsidR="00A77A7A" w:rsidRPr="00A77A7A" w:rsidTr="00B56F3B">
        <w:trPr>
          <w:tblCellSpacing w:w="15" w:type="dxa"/>
        </w:trPr>
        <w:tc>
          <w:tcPr>
            <w:tcW w:w="4969" w:type="pct"/>
            <w:tcBorders>
              <w:top w:val="single" w:sz="6" w:space="0" w:color="000066"/>
              <w:left w:val="single" w:sz="6" w:space="0" w:color="000066"/>
              <w:bottom w:val="single" w:sz="6" w:space="0" w:color="000066"/>
              <w:right w:val="single" w:sz="6" w:space="0" w:color="000066"/>
            </w:tcBorders>
            <w:hideMark/>
          </w:tcPr>
          <w:p w:rsidR="00A77A7A" w:rsidRPr="00A77A7A" w:rsidRDefault="00A77A7A" w:rsidP="00A77A7A">
            <w:pPr>
              <w:spacing w:before="100" w:beforeAutospacing="1" w:after="100" w:afterAutospacing="1"/>
              <w:rPr>
                <w:rFonts w:ascii="Arial" w:eastAsia="Times New Roman" w:hAnsi="Arial" w:cs="Arial"/>
                <w:sz w:val="24"/>
                <w:szCs w:val="24"/>
              </w:rPr>
            </w:pPr>
            <w:r w:rsidRPr="00A77A7A">
              <w:rPr>
                <w:rFonts w:ascii="Arial" w:eastAsia="Times New Roman" w:hAnsi="Arial" w:cs="Arial"/>
                <w:sz w:val="24"/>
                <w:szCs w:val="24"/>
              </w:rPr>
              <w:t>This policy authorizes eligible employees to use up to 30 workdays of paid leave in any calendar year, in addition to other paid leave, to donate bone marrow or organs.</w:t>
            </w:r>
          </w:p>
        </w:tc>
      </w:tr>
    </w:tbl>
    <w:p w:rsidR="007B6F98" w:rsidRDefault="007B6F98"/>
    <w:tbl>
      <w:tblPr>
        <w:tblW w:w="4765"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35"/>
      </w:tblGrid>
      <w:tr w:rsidR="007B6F98" w:rsidRPr="007B6F98" w:rsidTr="00B56F3B">
        <w:trPr>
          <w:tblCellSpacing w:w="15" w:type="dxa"/>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7B6F98" w:rsidRPr="007B6F98" w:rsidRDefault="007B6F98" w:rsidP="007B6F98">
            <w:pPr>
              <w:spacing w:before="100" w:beforeAutospacing="1" w:after="100" w:afterAutospacing="1"/>
              <w:jc w:val="center"/>
              <w:outlineLvl w:val="0"/>
              <w:rPr>
                <w:rFonts w:ascii="Arial" w:eastAsia="Times New Roman" w:hAnsi="Arial" w:cs="Arial"/>
                <w:b/>
                <w:bCs/>
                <w:color w:val="000066"/>
                <w:kern w:val="36"/>
                <w:sz w:val="27"/>
                <w:szCs w:val="27"/>
              </w:rPr>
            </w:pPr>
            <w:r w:rsidRPr="007B6F98">
              <w:rPr>
                <w:rFonts w:ascii="Arial" w:eastAsia="Times New Roman" w:hAnsi="Arial" w:cs="Arial"/>
                <w:b/>
                <w:bCs/>
                <w:color w:val="000066"/>
                <w:kern w:val="36"/>
                <w:sz w:val="27"/>
                <w:szCs w:val="27"/>
              </w:rPr>
              <w:t xml:space="preserve">Policy Number: 4.50 - Military Leave </w:t>
            </w:r>
            <w:r w:rsidRPr="007B6F98">
              <w:rPr>
                <w:rFonts w:ascii="Arial" w:eastAsia="Times New Roman" w:hAnsi="Arial" w:cs="Arial"/>
                <w:b/>
                <w:bCs/>
                <w:color w:val="000066"/>
                <w:kern w:val="36"/>
                <w:sz w:val="27"/>
                <w:szCs w:val="27"/>
              </w:rPr>
              <w:br/>
            </w:r>
            <w:proofErr w:type="spellStart"/>
            <w:r w:rsidRPr="007B6F98">
              <w:rPr>
                <w:rFonts w:ascii="Arial" w:eastAsia="Times New Roman" w:hAnsi="Arial" w:cs="Arial"/>
                <w:b/>
                <w:bCs/>
                <w:color w:val="000066"/>
                <w:kern w:val="36"/>
                <w:sz w:val="24"/>
                <w:szCs w:val="24"/>
              </w:rPr>
              <w:t>Efft</w:t>
            </w:r>
            <w:proofErr w:type="spellEnd"/>
            <w:r w:rsidRPr="007B6F98">
              <w:rPr>
                <w:rFonts w:ascii="Arial" w:eastAsia="Times New Roman" w:hAnsi="Arial" w:cs="Arial"/>
                <w:b/>
                <w:bCs/>
                <w:color w:val="000066"/>
                <w:kern w:val="36"/>
                <w:sz w:val="24"/>
                <w:szCs w:val="24"/>
              </w:rPr>
              <w:t xml:space="preserve">. Date: 9/16/93 Rev. Date: 7/10/04 </w:t>
            </w:r>
          </w:p>
        </w:tc>
      </w:tr>
      <w:tr w:rsidR="007B6F98" w:rsidRPr="007B6F98" w:rsidTr="00B56F3B">
        <w:trPr>
          <w:tblCellSpacing w:w="15" w:type="dxa"/>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7B6F98" w:rsidRPr="007B6F98" w:rsidRDefault="007B6F98" w:rsidP="007B6F98">
            <w:pPr>
              <w:jc w:val="center"/>
              <w:rPr>
                <w:rFonts w:ascii="Arial" w:eastAsia="Times New Roman" w:hAnsi="Arial" w:cs="Arial"/>
                <w:sz w:val="24"/>
                <w:szCs w:val="24"/>
              </w:rPr>
            </w:pPr>
            <w:r w:rsidRPr="007B6F98">
              <w:rPr>
                <w:rFonts w:ascii="Arial" w:eastAsia="Times New Roman" w:hAnsi="Arial" w:cs="Arial"/>
                <w:sz w:val="24"/>
                <w:szCs w:val="24"/>
              </w:rPr>
              <w:t>Application:</w:t>
            </w:r>
            <w:r w:rsidRPr="007B6F98">
              <w:rPr>
                <w:rFonts w:ascii="Arial" w:eastAsia="Times New Roman" w:hAnsi="Arial" w:cs="Arial"/>
                <w:i/>
                <w:iCs/>
                <w:sz w:val="24"/>
                <w:szCs w:val="24"/>
              </w:rPr>
              <w:t> Classified employees.</w:t>
            </w:r>
          </w:p>
        </w:tc>
      </w:tr>
      <w:tr w:rsidR="007B6F98" w:rsidRPr="007B6F98" w:rsidTr="00B56F3B">
        <w:trPr>
          <w:tblCellSpacing w:w="15" w:type="dxa"/>
        </w:trPr>
        <w:tc>
          <w:tcPr>
            <w:tcW w:w="4969" w:type="pct"/>
            <w:tcBorders>
              <w:top w:val="single" w:sz="6" w:space="0" w:color="000066"/>
              <w:left w:val="single" w:sz="6" w:space="0" w:color="000066"/>
              <w:bottom w:val="single" w:sz="6" w:space="0" w:color="000066"/>
              <w:right w:val="single" w:sz="6" w:space="0" w:color="000066"/>
            </w:tcBorders>
            <w:shd w:val="clear" w:color="auto" w:fill="6699CC"/>
            <w:vAlign w:val="center"/>
            <w:hideMark/>
          </w:tcPr>
          <w:p w:rsidR="007B6F98" w:rsidRPr="007B6F98" w:rsidRDefault="007B6F98" w:rsidP="007B6F98">
            <w:pPr>
              <w:jc w:val="center"/>
              <w:rPr>
                <w:rFonts w:ascii="Arial" w:eastAsia="Times New Roman" w:hAnsi="Arial" w:cs="Arial"/>
                <w:b/>
                <w:bCs/>
                <w:caps/>
                <w:color w:val="003399"/>
                <w:sz w:val="27"/>
                <w:szCs w:val="27"/>
              </w:rPr>
            </w:pPr>
            <w:r w:rsidRPr="007B6F98">
              <w:rPr>
                <w:rFonts w:ascii="Arial" w:eastAsia="Times New Roman" w:hAnsi="Arial" w:cs="Arial"/>
                <w:b/>
                <w:bCs/>
                <w:caps/>
                <w:color w:val="003399"/>
                <w:sz w:val="27"/>
                <w:szCs w:val="27"/>
              </w:rPr>
              <w:t>PURPOSE</w:t>
            </w:r>
          </w:p>
        </w:tc>
      </w:tr>
      <w:tr w:rsidR="007B6F98" w:rsidRPr="007B6F98" w:rsidTr="00B56F3B">
        <w:trPr>
          <w:tblCellSpacing w:w="15" w:type="dxa"/>
        </w:trPr>
        <w:tc>
          <w:tcPr>
            <w:tcW w:w="4969" w:type="pct"/>
            <w:tcBorders>
              <w:top w:val="single" w:sz="6" w:space="0" w:color="000066"/>
              <w:left w:val="single" w:sz="6" w:space="0" w:color="000066"/>
              <w:bottom w:val="single" w:sz="6" w:space="0" w:color="000066"/>
              <w:right w:val="single" w:sz="6" w:space="0" w:color="000066"/>
            </w:tcBorders>
            <w:hideMark/>
          </w:tcPr>
          <w:p w:rsidR="007B6F98" w:rsidRPr="007B6F98" w:rsidRDefault="007B6F98" w:rsidP="007B6F98">
            <w:pPr>
              <w:spacing w:before="100" w:beforeAutospacing="1" w:after="100" w:afterAutospacing="1"/>
              <w:rPr>
                <w:rFonts w:ascii="Arial" w:eastAsia="Times New Roman" w:hAnsi="Arial" w:cs="Arial"/>
                <w:sz w:val="24"/>
                <w:szCs w:val="24"/>
              </w:rPr>
            </w:pPr>
            <w:r w:rsidRPr="007B6F98">
              <w:rPr>
                <w:rFonts w:ascii="Arial" w:eastAsia="Times New Roman" w:hAnsi="Arial" w:cs="Arial"/>
                <w:sz w:val="24"/>
                <w:szCs w:val="24"/>
              </w:rPr>
              <w:t>Permits employees to take military leave, with or without pay, for active duty in the armed services of the United States, and permits employees who are former and inactive members of the armed services, or current members of the reserve forces of any of the United States' armed services, or of the Commonwealth's militia, or the National Defense Executive Reserve to take military leave in accordance with federal and state law. Provides continued salary for employees in the Commonwealth’s Militia called up by the Governor to respond to natural or man-made disasters.</w:t>
            </w:r>
          </w:p>
        </w:tc>
      </w:tr>
    </w:tbl>
    <w:p w:rsidR="007B6F98" w:rsidRDefault="007B6F98"/>
    <w:p w:rsidR="0030471F" w:rsidRDefault="0030471F"/>
    <w:tbl>
      <w:tblPr>
        <w:tblpPr w:leftFromText="180" w:rightFromText="180" w:vertAnchor="text" w:tblpXSpec="center" w:tblpY="1"/>
        <w:tblOverlap w:val="never"/>
        <w:tblW w:w="47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75"/>
      </w:tblGrid>
      <w:tr w:rsidR="0030471F" w:rsidTr="00B56F3B">
        <w:trPr>
          <w:trHeight w:val="418"/>
          <w:tblCellSpacing w:w="15" w:type="dxa"/>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30471F" w:rsidRDefault="0030471F" w:rsidP="00B67326">
            <w:pPr>
              <w:spacing w:before="100" w:beforeAutospacing="1" w:after="100" w:afterAutospacing="1"/>
              <w:jc w:val="center"/>
              <w:outlineLvl w:val="0"/>
              <w:rPr>
                <w:rFonts w:ascii="Arial" w:eastAsia="Times New Roman" w:hAnsi="Arial" w:cs="Arial"/>
                <w:b/>
                <w:bCs/>
                <w:color w:val="000066"/>
                <w:kern w:val="36"/>
                <w:sz w:val="27"/>
                <w:szCs w:val="27"/>
              </w:rPr>
            </w:pPr>
            <w:r>
              <w:rPr>
                <w:rFonts w:ascii="Arial" w:eastAsia="Times New Roman" w:hAnsi="Arial" w:cs="Arial"/>
                <w:b/>
                <w:bCs/>
                <w:color w:val="000066"/>
                <w:kern w:val="36"/>
                <w:sz w:val="27"/>
                <w:szCs w:val="27"/>
              </w:rPr>
              <w:t>DHRM Policy Number: 4.52 – Public Health Emergency Leave</w:t>
            </w:r>
            <w:r>
              <w:rPr>
                <w:rFonts w:ascii="Arial" w:eastAsia="Times New Roman" w:hAnsi="Arial" w:cs="Arial"/>
                <w:b/>
                <w:bCs/>
                <w:color w:val="000066"/>
                <w:kern w:val="36"/>
                <w:sz w:val="27"/>
                <w:szCs w:val="27"/>
              </w:rPr>
              <w:br/>
            </w:r>
            <w:proofErr w:type="spellStart"/>
            <w:r>
              <w:rPr>
                <w:rFonts w:ascii="Arial" w:eastAsia="Times New Roman" w:hAnsi="Arial" w:cs="Arial"/>
                <w:b/>
                <w:bCs/>
                <w:color w:val="000066"/>
                <w:kern w:val="36"/>
                <w:sz w:val="24"/>
                <w:szCs w:val="24"/>
              </w:rPr>
              <w:t>Efft</w:t>
            </w:r>
            <w:proofErr w:type="spellEnd"/>
            <w:r>
              <w:rPr>
                <w:rFonts w:ascii="Arial" w:eastAsia="Times New Roman" w:hAnsi="Arial" w:cs="Arial"/>
                <w:b/>
                <w:bCs/>
                <w:color w:val="000066"/>
                <w:kern w:val="36"/>
                <w:sz w:val="24"/>
                <w:szCs w:val="24"/>
              </w:rPr>
              <w:t xml:space="preserve">. Date: 06/10/097  Rev. Date: 7/10/14 </w:t>
            </w:r>
          </w:p>
        </w:tc>
      </w:tr>
      <w:tr w:rsidR="0030471F" w:rsidTr="00B56F3B">
        <w:trPr>
          <w:trHeight w:val="397"/>
          <w:tblCellSpacing w:w="15" w:type="dxa"/>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30471F" w:rsidRDefault="0030471F" w:rsidP="00B67326">
            <w:pPr>
              <w:jc w:val="center"/>
              <w:rPr>
                <w:rFonts w:ascii="Arial" w:eastAsia="Times New Roman" w:hAnsi="Arial" w:cs="Arial"/>
                <w:sz w:val="24"/>
                <w:szCs w:val="24"/>
              </w:rPr>
            </w:pPr>
            <w:r>
              <w:rPr>
                <w:rFonts w:ascii="Arial" w:eastAsia="Times New Roman" w:hAnsi="Arial" w:cs="Arial"/>
                <w:sz w:val="24"/>
                <w:szCs w:val="24"/>
              </w:rPr>
              <w:t>Application:</w:t>
            </w:r>
            <w:r>
              <w:rPr>
                <w:rFonts w:ascii="Arial" w:eastAsia="Times New Roman" w:hAnsi="Arial" w:cs="Arial"/>
                <w:i/>
                <w:iCs/>
                <w:sz w:val="24"/>
                <w:szCs w:val="24"/>
              </w:rPr>
              <w:t>  All state employees, including employees of agencies exempt from coverage of the Virginia Personnel Act, and wage employees.</w:t>
            </w:r>
          </w:p>
        </w:tc>
      </w:tr>
      <w:tr w:rsidR="0030471F" w:rsidTr="00B56F3B">
        <w:trPr>
          <w:trHeight w:val="225"/>
          <w:tblCellSpacing w:w="15" w:type="dxa"/>
        </w:trPr>
        <w:tc>
          <w:tcPr>
            <w:tcW w:w="4969" w:type="pct"/>
            <w:tcBorders>
              <w:top w:val="single" w:sz="6" w:space="0" w:color="000066"/>
              <w:left w:val="single" w:sz="6" w:space="0" w:color="000066"/>
              <w:bottom w:val="single" w:sz="6" w:space="0" w:color="000066"/>
              <w:right w:val="single" w:sz="6" w:space="0" w:color="000066"/>
            </w:tcBorders>
            <w:shd w:val="clear" w:color="auto" w:fill="6699CC"/>
            <w:vAlign w:val="center"/>
            <w:hideMark/>
          </w:tcPr>
          <w:p w:rsidR="0030471F" w:rsidRDefault="0030471F" w:rsidP="00B67326">
            <w:pPr>
              <w:jc w:val="center"/>
              <w:rPr>
                <w:rFonts w:ascii="Arial" w:eastAsia="Times New Roman" w:hAnsi="Arial" w:cs="Arial"/>
                <w:b/>
                <w:bCs/>
                <w:caps/>
                <w:color w:val="003399"/>
                <w:sz w:val="27"/>
                <w:szCs w:val="27"/>
              </w:rPr>
            </w:pPr>
            <w:r>
              <w:rPr>
                <w:rFonts w:ascii="Arial" w:eastAsia="Times New Roman" w:hAnsi="Arial" w:cs="Arial"/>
                <w:b/>
                <w:bCs/>
                <w:caps/>
                <w:color w:val="003399"/>
                <w:sz w:val="27"/>
                <w:szCs w:val="27"/>
              </w:rPr>
              <w:t>PURPOSE</w:t>
            </w:r>
          </w:p>
        </w:tc>
      </w:tr>
      <w:tr w:rsidR="0030471F" w:rsidTr="00B56F3B">
        <w:trPr>
          <w:trHeight w:val="1983"/>
          <w:tblCellSpacing w:w="15" w:type="dxa"/>
        </w:trPr>
        <w:tc>
          <w:tcPr>
            <w:tcW w:w="4969" w:type="pct"/>
            <w:tcBorders>
              <w:top w:val="single" w:sz="6" w:space="0" w:color="000066"/>
              <w:left w:val="single" w:sz="6" w:space="0" w:color="000066"/>
              <w:bottom w:val="single" w:sz="6" w:space="0" w:color="000066"/>
              <w:right w:val="single" w:sz="6" w:space="0" w:color="000066"/>
            </w:tcBorders>
            <w:hideMark/>
          </w:tcPr>
          <w:p w:rsidR="0030471F" w:rsidRDefault="0030471F" w:rsidP="00B67326">
            <w:pPr>
              <w:pStyle w:val="Default"/>
            </w:pPr>
            <w:r>
              <w:rPr>
                <w:rFonts w:ascii="Arial" w:eastAsia="Times New Roman" w:hAnsi="Arial" w:cs="Arial"/>
              </w:rPr>
              <w:t xml:space="preserve"> </w:t>
            </w:r>
          </w:p>
          <w:p w:rsidR="0030471F" w:rsidRPr="00A77A7A" w:rsidRDefault="0030471F" w:rsidP="00B67326">
            <w:pPr>
              <w:pStyle w:val="Default"/>
              <w:rPr>
                <w:rFonts w:ascii="Arial" w:hAnsi="Arial" w:cs="Arial"/>
              </w:rPr>
            </w:pPr>
            <w:r>
              <w:t xml:space="preserve"> </w:t>
            </w:r>
            <w:r w:rsidRPr="00A77A7A">
              <w:rPr>
                <w:rFonts w:ascii="Arial" w:hAnsi="Arial" w:cs="Arial"/>
              </w:rPr>
              <w:t xml:space="preserve">This policy permits or requires eligible employees to attend to the medical needs of self and immediate family members by providing up to 80 hours1 of paid leave per leave year when Communicable Disease of Public Health Threat conditions as defined in Section 32.1-48.06, </w:t>
            </w:r>
            <w:r w:rsidRPr="00A77A7A">
              <w:rPr>
                <w:rFonts w:ascii="Arial" w:hAnsi="Arial" w:cs="Arial"/>
                <w:i/>
                <w:iCs/>
              </w:rPr>
              <w:t xml:space="preserve">et. </w:t>
            </w:r>
            <w:proofErr w:type="spellStart"/>
            <w:proofErr w:type="gramStart"/>
            <w:r w:rsidRPr="00A77A7A">
              <w:rPr>
                <w:rFonts w:ascii="Arial" w:hAnsi="Arial" w:cs="Arial"/>
                <w:i/>
                <w:iCs/>
              </w:rPr>
              <w:t>seq</w:t>
            </w:r>
            <w:proofErr w:type="spellEnd"/>
            <w:proofErr w:type="gramEnd"/>
            <w:r w:rsidRPr="00A77A7A">
              <w:rPr>
                <w:rFonts w:ascii="Arial" w:hAnsi="Arial" w:cs="Arial"/>
                <w:i/>
                <w:iCs/>
              </w:rPr>
              <w:t xml:space="preserve"> Code of Virginia</w:t>
            </w:r>
            <w:r w:rsidRPr="00A77A7A">
              <w:rPr>
                <w:rFonts w:ascii="Arial" w:hAnsi="Arial" w:cs="Arial"/>
              </w:rPr>
              <w:t xml:space="preserve">, have been declared by the State Health Commissioner and Governor. </w:t>
            </w:r>
          </w:p>
          <w:p w:rsidR="0030471F" w:rsidRDefault="0030471F" w:rsidP="00B56F3B">
            <w:pPr>
              <w:pStyle w:val="Default"/>
              <w:rPr>
                <w:rFonts w:ascii="Arial" w:eastAsia="Times New Roman" w:hAnsi="Arial" w:cs="Arial"/>
              </w:rPr>
            </w:pPr>
            <w:r w:rsidRPr="00A77A7A">
              <w:rPr>
                <w:rFonts w:ascii="Arial" w:hAnsi="Arial" w:cs="Arial"/>
              </w:rPr>
              <w:t>Use of this policy is intended for illness directly related</w:t>
            </w:r>
            <w:r>
              <w:rPr>
                <w:rFonts w:ascii="Arial" w:hAnsi="Arial" w:cs="Arial"/>
              </w:rPr>
              <w:t xml:space="preserve"> </w:t>
            </w:r>
            <w:r w:rsidRPr="00A77A7A">
              <w:rPr>
                <w:rFonts w:ascii="Arial" w:hAnsi="Arial" w:cs="Arial"/>
              </w:rPr>
              <w:t xml:space="preserve">to the declared communicable disease threat.  </w:t>
            </w:r>
          </w:p>
        </w:tc>
      </w:tr>
    </w:tbl>
    <w:p w:rsidR="0030471F" w:rsidRDefault="0030471F"/>
    <w:p w:rsidR="0030471F" w:rsidRDefault="0030471F"/>
    <w:tbl>
      <w:tblPr>
        <w:tblW w:w="4758" w:type="pct"/>
        <w:jc w:val="center"/>
        <w:tblCellSpacing w:w="15" w:type="dxa"/>
        <w:tblInd w:w="-87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20"/>
      </w:tblGrid>
      <w:tr w:rsidR="0030471F" w:rsidRPr="007B6F98" w:rsidTr="00B56F3B">
        <w:trPr>
          <w:tblCellSpacing w:w="15" w:type="dxa"/>
          <w:jc w:val="center"/>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30471F" w:rsidRPr="007B6F98" w:rsidRDefault="00D83EE4" w:rsidP="00B56F3B">
            <w:pPr>
              <w:spacing w:before="100" w:beforeAutospacing="1" w:after="100" w:afterAutospacing="1"/>
              <w:jc w:val="center"/>
              <w:outlineLvl w:val="0"/>
              <w:rPr>
                <w:rFonts w:ascii="Arial" w:eastAsia="Times New Roman" w:hAnsi="Arial" w:cs="Arial"/>
                <w:b/>
                <w:bCs/>
                <w:color w:val="000066"/>
                <w:kern w:val="36"/>
                <w:sz w:val="27"/>
                <w:szCs w:val="27"/>
              </w:rPr>
            </w:pPr>
            <w:hyperlink r:id="rId10" w:history="1"/>
            <w:r w:rsidR="0030471F">
              <w:rPr>
                <w:rFonts w:ascii="Arial" w:eastAsia="Times New Roman" w:hAnsi="Arial" w:cs="Arial"/>
                <w:b/>
                <w:bCs/>
                <w:color w:val="000066"/>
                <w:kern w:val="36"/>
                <w:sz w:val="27"/>
                <w:szCs w:val="27"/>
              </w:rPr>
              <w:t>Educational Leave- UMW Tuition Assistance Policy</w:t>
            </w:r>
            <w:r w:rsidR="00B56F3B">
              <w:rPr>
                <w:rFonts w:ascii="Arial" w:eastAsia="Times New Roman" w:hAnsi="Arial" w:cs="Arial"/>
                <w:b/>
                <w:bCs/>
                <w:color w:val="000066"/>
                <w:kern w:val="36"/>
                <w:sz w:val="27"/>
                <w:szCs w:val="27"/>
              </w:rPr>
              <w:t xml:space="preserve"> </w:t>
            </w:r>
            <w:r w:rsidR="0030471F" w:rsidRPr="00582B28">
              <w:rPr>
                <w:rFonts w:ascii="Arial" w:eastAsia="Times New Roman" w:hAnsi="Arial" w:cs="Arial"/>
                <w:b/>
                <w:bCs/>
                <w:color w:val="000066"/>
                <w:kern w:val="36"/>
                <w:sz w:val="27"/>
                <w:szCs w:val="27"/>
              </w:rPr>
              <w:t>http://adminfinance.umw.edu/hr/benefits/benefits-forms/tuition-assistance/</w:t>
            </w:r>
            <w:r w:rsidR="0030471F">
              <w:rPr>
                <w:rFonts w:ascii="Arial" w:eastAsia="Times New Roman" w:hAnsi="Arial" w:cs="Arial"/>
                <w:b/>
                <w:bCs/>
                <w:color w:val="000066"/>
                <w:kern w:val="36"/>
                <w:sz w:val="27"/>
                <w:szCs w:val="27"/>
              </w:rPr>
              <w:t xml:space="preserve"> </w:t>
            </w:r>
            <w:r w:rsidR="0030471F" w:rsidRPr="007B6F98">
              <w:rPr>
                <w:rFonts w:ascii="Arial" w:eastAsia="Times New Roman" w:hAnsi="Arial" w:cs="Arial"/>
                <w:b/>
                <w:bCs/>
                <w:color w:val="000066"/>
                <w:kern w:val="36"/>
                <w:sz w:val="27"/>
                <w:szCs w:val="27"/>
              </w:rPr>
              <w:t xml:space="preserve"> </w:t>
            </w:r>
          </w:p>
        </w:tc>
      </w:tr>
      <w:tr w:rsidR="0030471F" w:rsidRPr="007B6F98" w:rsidTr="00B56F3B">
        <w:trPr>
          <w:tblCellSpacing w:w="15" w:type="dxa"/>
          <w:jc w:val="center"/>
        </w:trPr>
        <w:tc>
          <w:tcPr>
            <w:tcW w:w="4969" w:type="pct"/>
            <w:tcBorders>
              <w:top w:val="single" w:sz="6" w:space="0" w:color="000066"/>
              <w:left w:val="single" w:sz="6" w:space="0" w:color="000066"/>
              <w:bottom w:val="single" w:sz="6" w:space="0" w:color="000066"/>
              <w:right w:val="single" w:sz="6" w:space="0" w:color="000066"/>
            </w:tcBorders>
            <w:vAlign w:val="center"/>
            <w:hideMark/>
          </w:tcPr>
          <w:p w:rsidR="0030471F" w:rsidRPr="002D5B64" w:rsidRDefault="0030471F" w:rsidP="00B67326">
            <w:pPr>
              <w:pStyle w:val="Default"/>
              <w:rPr>
                <w:rFonts w:ascii="Cambria" w:hAnsi="Cambria" w:cs="Cambria"/>
              </w:rPr>
            </w:pPr>
            <w:r w:rsidRPr="007B6F98">
              <w:rPr>
                <w:rFonts w:ascii="Arial" w:eastAsia="Times New Roman" w:hAnsi="Arial" w:cs="Arial"/>
              </w:rPr>
              <w:t>Application:</w:t>
            </w:r>
            <w:r>
              <w:rPr>
                <w:rFonts w:ascii="Arial" w:eastAsia="Times New Roman" w:hAnsi="Arial" w:cs="Arial"/>
                <w:i/>
                <w:iCs/>
              </w:rPr>
              <w:t> </w:t>
            </w:r>
          </w:p>
          <w:tbl>
            <w:tblPr>
              <w:tblW w:w="0" w:type="auto"/>
              <w:tblBorders>
                <w:top w:val="nil"/>
                <w:left w:val="nil"/>
                <w:bottom w:val="nil"/>
                <w:right w:val="nil"/>
              </w:tblBorders>
              <w:tblLook w:val="0000" w:firstRow="0" w:lastRow="0" w:firstColumn="0" w:lastColumn="0" w:noHBand="0" w:noVBand="0"/>
            </w:tblPr>
            <w:tblGrid>
              <w:gridCol w:w="10270"/>
            </w:tblGrid>
            <w:tr w:rsidR="0030471F" w:rsidRPr="002D5B64" w:rsidTr="00B67326">
              <w:trPr>
                <w:trHeight w:val="216"/>
              </w:trPr>
              <w:tc>
                <w:tcPr>
                  <w:tcW w:w="0" w:type="auto"/>
                </w:tcPr>
                <w:p w:rsidR="0030471F" w:rsidRPr="002D5B64" w:rsidRDefault="0030471F" w:rsidP="00B67326">
                  <w:pPr>
                    <w:autoSpaceDE w:val="0"/>
                    <w:autoSpaceDN w:val="0"/>
                    <w:adjustRightInd w:val="0"/>
                    <w:rPr>
                      <w:rFonts w:ascii="Arial" w:hAnsi="Arial" w:cs="Arial"/>
                      <w:i/>
                      <w:color w:val="000000"/>
                      <w:sz w:val="24"/>
                      <w:szCs w:val="24"/>
                    </w:rPr>
                  </w:pPr>
                  <w:r w:rsidRPr="002D5B64">
                    <w:rPr>
                      <w:rFonts w:ascii="Arial" w:hAnsi="Arial" w:cs="Arial"/>
                      <w:i/>
                      <w:color w:val="000000"/>
                      <w:sz w:val="24"/>
                      <w:szCs w:val="24"/>
                    </w:rPr>
                    <w:t xml:space="preserve">Classified, wage, administrative faculty, professional faculty, and other non- faculty part time employees </w:t>
                  </w:r>
                </w:p>
              </w:tc>
            </w:tr>
          </w:tbl>
          <w:p w:rsidR="0030471F" w:rsidRPr="007B6F98" w:rsidRDefault="0030471F" w:rsidP="00B67326">
            <w:pPr>
              <w:jc w:val="center"/>
              <w:rPr>
                <w:rFonts w:ascii="Arial" w:eastAsia="Times New Roman" w:hAnsi="Arial" w:cs="Arial"/>
                <w:sz w:val="24"/>
                <w:szCs w:val="24"/>
              </w:rPr>
            </w:pPr>
          </w:p>
        </w:tc>
      </w:tr>
      <w:tr w:rsidR="0030471F" w:rsidRPr="007B6F98" w:rsidTr="00B56F3B">
        <w:trPr>
          <w:tblCellSpacing w:w="15" w:type="dxa"/>
          <w:jc w:val="center"/>
        </w:trPr>
        <w:tc>
          <w:tcPr>
            <w:tcW w:w="4969" w:type="pct"/>
            <w:tcBorders>
              <w:top w:val="single" w:sz="6" w:space="0" w:color="000066"/>
              <w:left w:val="single" w:sz="6" w:space="0" w:color="000066"/>
              <w:bottom w:val="single" w:sz="6" w:space="0" w:color="000066"/>
              <w:right w:val="single" w:sz="6" w:space="0" w:color="000066"/>
            </w:tcBorders>
            <w:shd w:val="clear" w:color="auto" w:fill="6699CC"/>
            <w:vAlign w:val="center"/>
            <w:hideMark/>
          </w:tcPr>
          <w:p w:rsidR="0030471F" w:rsidRPr="007B6F98" w:rsidRDefault="0030471F" w:rsidP="00B67326">
            <w:pPr>
              <w:jc w:val="center"/>
              <w:rPr>
                <w:rFonts w:ascii="Arial" w:eastAsia="Times New Roman" w:hAnsi="Arial" w:cs="Arial"/>
                <w:b/>
                <w:bCs/>
                <w:caps/>
                <w:color w:val="003399"/>
                <w:sz w:val="27"/>
                <w:szCs w:val="27"/>
              </w:rPr>
            </w:pPr>
            <w:r>
              <w:rPr>
                <w:rFonts w:ascii="Arial" w:eastAsia="Times New Roman" w:hAnsi="Arial" w:cs="Arial"/>
                <w:b/>
                <w:bCs/>
                <w:caps/>
                <w:color w:val="003399"/>
                <w:sz w:val="27"/>
                <w:szCs w:val="27"/>
              </w:rPr>
              <w:t>Release Time for Full Time Employees</w:t>
            </w:r>
          </w:p>
        </w:tc>
      </w:tr>
      <w:tr w:rsidR="0030471F" w:rsidRPr="007B6F98" w:rsidTr="00B56F3B">
        <w:trPr>
          <w:tblCellSpacing w:w="15" w:type="dxa"/>
          <w:jc w:val="center"/>
        </w:trPr>
        <w:tc>
          <w:tcPr>
            <w:tcW w:w="4969" w:type="pct"/>
            <w:tcBorders>
              <w:top w:val="single" w:sz="6" w:space="0" w:color="000066"/>
              <w:left w:val="single" w:sz="6" w:space="0" w:color="000066"/>
              <w:bottom w:val="single" w:sz="6" w:space="0" w:color="000066"/>
              <w:right w:val="single" w:sz="6" w:space="0" w:color="000066"/>
            </w:tcBorders>
            <w:hideMark/>
          </w:tcPr>
          <w:p w:rsidR="0030471F" w:rsidRPr="0098443E" w:rsidRDefault="0030471F" w:rsidP="00B67326">
            <w:pPr>
              <w:pStyle w:val="Default"/>
              <w:rPr>
                <w:rFonts w:ascii="Arial" w:hAnsi="Arial" w:cs="Arial"/>
              </w:rPr>
            </w:pPr>
            <w:r>
              <w:rPr>
                <w:rFonts w:ascii="Arial" w:eastAsia="Times New Roman" w:hAnsi="Arial" w:cs="Arial"/>
              </w:rPr>
              <w:t xml:space="preserve"> </w:t>
            </w:r>
            <w:r w:rsidRPr="0098443E">
              <w:rPr>
                <w:rFonts w:ascii="Arial" w:hAnsi="Arial" w:cs="Arial"/>
              </w:rPr>
              <w:t xml:space="preserve">It is expected that employees will make every effort to schedule courses before or after the workday. </w:t>
            </w:r>
          </w:p>
          <w:p w:rsidR="0030471F" w:rsidRPr="0098443E" w:rsidRDefault="0030471F" w:rsidP="00B67326">
            <w:pPr>
              <w:pStyle w:val="Default"/>
              <w:rPr>
                <w:rFonts w:ascii="Arial" w:hAnsi="Arial" w:cs="Arial"/>
              </w:rPr>
            </w:pPr>
            <w:r w:rsidRPr="0098443E">
              <w:rPr>
                <w:rFonts w:ascii="Arial" w:hAnsi="Arial" w:cs="Arial"/>
              </w:rPr>
              <w:t xml:space="preserve">When courses must be taken during the workday, full-time employees may request up to four hours per week for actual class time (on-the-job time to attend class). This release time does not include travel time to and from class. Release time is at the discretion of the immediate supervisor and appropriate vice president. At no time will the granting of release time be allowed to interfere with the proper completion of the employee’s daily assigned duties. </w:t>
            </w:r>
          </w:p>
          <w:p w:rsidR="0030471F" w:rsidRPr="007B6F98" w:rsidRDefault="0030471F" w:rsidP="00B56F3B">
            <w:pPr>
              <w:rPr>
                <w:rFonts w:ascii="Arial" w:eastAsia="Times New Roman" w:hAnsi="Arial" w:cs="Arial"/>
                <w:sz w:val="24"/>
                <w:szCs w:val="24"/>
              </w:rPr>
            </w:pPr>
            <w:r w:rsidRPr="0098443E">
              <w:rPr>
                <w:rFonts w:ascii="Arial" w:hAnsi="Arial" w:cs="Arial"/>
                <w:sz w:val="24"/>
                <w:szCs w:val="24"/>
              </w:rPr>
              <w:t>At the discretion of the immediate supervisor, employees who request to take courses during the workday may be allowed, as operations permit, to adjust their work hours to fulfill their normal work hours per week. Schedule adjustments should be documented in the supervisor’s</w:t>
            </w:r>
            <w:r>
              <w:rPr>
                <w:sz w:val="20"/>
                <w:szCs w:val="20"/>
              </w:rPr>
              <w:t xml:space="preserve"> file. </w:t>
            </w:r>
          </w:p>
        </w:tc>
      </w:tr>
    </w:tbl>
    <w:p w:rsidR="0030471F" w:rsidRDefault="0030471F"/>
    <w:sectPr w:rsidR="0030471F" w:rsidSect="00B56F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E4" w:rsidRDefault="00D83EE4" w:rsidP="007B6F98">
      <w:r>
        <w:separator/>
      </w:r>
    </w:p>
  </w:endnote>
  <w:endnote w:type="continuationSeparator" w:id="0">
    <w:p w:rsidR="00D83EE4" w:rsidRDefault="00D83EE4" w:rsidP="007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E4" w:rsidRDefault="00D83EE4" w:rsidP="007B6F98">
      <w:r>
        <w:separator/>
      </w:r>
    </w:p>
  </w:footnote>
  <w:footnote w:type="continuationSeparator" w:id="0">
    <w:p w:rsidR="00D83EE4" w:rsidRDefault="00D83EE4" w:rsidP="007B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92089"/>
    <w:multiLevelType w:val="multilevel"/>
    <w:tmpl w:val="E29E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7A"/>
    <w:rsid w:val="0002470C"/>
    <w:rsid w:val="00090BB1"/>
    <w:rsid w:val="000F7354"/>
    <w:rsid w:val="00195F39"/>
    <w:rsid w:val="002B49EE"/>
    <w:rsid w:val="002D5B64"/>
    <w:rsid w:val="0030471F"/>
    <w:rsid w:val="003541C4"/>
    <w:rsid w:val="00582B28"/>
    <w:rsid w:val="006526D6"/>
    <w:rsid w:val="006F2B6A"/>
    <w:rsid w:val="00757AEE"/>
    <w:rsid w:val="007B2874"/>
    <w:rsid w:val="007B6F98"/>
    <w:rsid w:val="008007CE"/>
    <w:rsid w:val="008A723E"/>
    <w:rsid w:val="0098443E"/>
    <w:rsid w:val="00A77A7A"/>
    <w:rsid w:val="00B56F3B"/>
    <w:rsid w:val="00D0269B"/>
    <w:rsid w:val="00D24869"/>
    <w:rsid w:val="00D671C1"/>
    <w:rsid w:val="00D83EE4"/>
    <w:rsid w:val="00DE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7A"/>
    <w:pPr>
      <w:spacing w:after="0" w:line="240" w:lineRule="auto"/>
    </w:pPr>
  </w:style>
  <w:style w:type="paragraph" w:styleId="Heading1">
    <w:name w:val="heading 1"/>
    <w:basedOn w:val="Normal"/>
    <w:link w:val="Heading1Char"/>
    <w:uiPriority w:val="9"/>
    <w:qFormat/>
    <w:rsid w:val="00A77A7A"/>
    <w:pPr>
      <w:spacing w:before="100" w:beforeAutospacing="1" w:after="100" w:afterAutospacing="1"/>
      <w:outlineLvl w:val="0"/>
    </w:pPr>
    <w:rPr>
      <w:rFonts w:ascii="Arial" w:eastAsia="Times New Roman" w:hAnsi="Arial" w:cs="Arial"/>
      <w:b/>
      <w:bCs/>
      <w:color w:val="000066"/>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A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77A7A"/>
    <w:rPr>
      <w:rFonts w:ascii="Arial" w:eastAsia="Times New Roman" w:hAnsi="Arial" w:cs="Arial"/>
      <w:b/>
      <w:bCs/>
      <w:color w:val="000066"/>
      <w:kern w:val="36"/>
      <w:sz w:val="27"/>
      <w:szCs w:val="27"/>
    </w:rPr>
  </w:style>
  <w:style w:type="character" w:customStyle="1" w:styleId="style11">
    <w:name w:val="style11"/>
    <w:basedOn w:val="DefaultParagraphFont"/>
    <w:rsid w:val="00A77A7A"/>
    <w:rPr>
      <w:sz w:val="24"/>
      <w:szCs w:val="24"/>
    </w:rPr>
  </w:style>
  <w:style w:type="character" w:styleId="Emphasis">
    <w:name w:val="Emphasis"/>
    <w:basedOn w:val="DefaultParagraphFont"/>
    <w:uiPriority w:val="20"/>
    <w:qFormat/>
    <w:rsid w:val="00A77A7A"/>
    <w:rPr>
      <w:i/>
      <w:iCs/>
    </w:rPr>
  </w:style>
  <w:style w:type="paragraph" w:styleId="NormalWeb">
    <w:name w:val="Normal (Web)"/>
    <w:basedOn w:val="Normal"/>
    <w:uiPriority w:val="99"/>
    <w:unhideWhenUsed/>
    <w:rsid w:val="00A77A7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6F98"/>
    <w:pPr>
      <w:tabs>
        <w:tab w:val="center" w:pos="4680"/>
        <w:tab w:val="right" w:pos="9360"/>
      </w:tabs>
    </w:pPr>
  </w:style>
  <w:style w:type="character" w:customStyle="1" w:styleId="HeaderChar">
    <w:name w:val="Header Char"/>
    <w:basedOn w:val="DefaultParagraphFont"/>
    <w:link w:val="Header"/>
    <w:uiPriority w:val="99"/>
    <w:rsid w:val="007B6F98"/>
  </w:style>
  <w:style w:type="paragraph" w:styleId="Footer">
    <w:name w:val="footer"/>
    <w:basedOn w:val="Normal"/>
    <w:link w:val="FooterChar"/>
    <w:uiPriority w:val="99"/>
    <w:unhideWhenUsed/>
    <w:rsid w:val="007B6F98"/>
    <w:pPr>
      <w:tabs>
        <w:tab w:val="center" w:pos="4680"/>
        <w:tab w:val="right" w:pos="9360"/>
      </w:tabs>
    </w:pPr>
  </w:style>
  <w:style w:type="character" w:customStyle="1" w:styleId="FooterChar">
    <w:name w:val="Footer Char"/>
    <w:basedOn w:val="DefaultParagraphFont"/>
    <w:link w:val="Footer"/>
    <w:uiPriority w:val="99"/>
    <w:rsid w:val="007B6F98"/>
  </w:style>
  <w:style w:type="character" w:styleId="Hyperlink">
    <w:name w:val="Hyperlink"/>
    <w:basedOn w:val="DefaultParagraphFont"/>
    <w:uiPriority w:val="99"/>
    <w:unhideWhenUsed/>
    <w:rsid w:val="007B6F98"/>
    <w:rPr>
      <w:color w:val="0000FF" w:themeColor="hyperlink"/>
      <w:u w:val="single"/>
    </w:rPr>
  </w:style>
  <w:style w:type="character" w:styleId="FollowedHyperlink">
    <w:name w:val="FollowedHyperlink"/>
    <w:basedOn w:val="DefaultParagraphFont"/>
    <w:uiPriority w:val="99"/>
    <w:semiHidden/>
    <w:unhideWhenUsed/>
    <w:rsid w:val="007B6F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7A"/>
    <w:pPr>
      <w:spacing w:after="0" w:line="240" w:lineRule="auto"/>
    </w:pPr>
  </w:style>
  <w:style w:type="paragraph" w:styleId="Heading1">
    <w:name w:val="heading 1"/>
    <w:basedOn w:val="Normal"/>
    <w:link w:val="Heading1Char"/>
    <w:uiPriority w:val="9"/>
    <w:qFormat/>
    <w:rsid w:val="00A77A7A"/>
    <w:pPr>
      <w:spacing w:before="100" w:beforeAutospacing="1" w:after="100" w:afterAutospacing="1"/>
      <w:outlineLvl w:val="0"/>
    </w:pPr>
    <w:rPr>
      <w:rFonts w:ascii="Arial" w:eastAsia="Times New Roman" w:hAnsi="Arial" w:cs="Arial"/>
      <w:b/>
      <w:bCs/>
      <w:color w:val="000066"/>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A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77A7A"/>
    <w:rPr>
      <w:rFonts w:ascii="Arial" w:eastAsia="Times New Roman" w:hAnsi="Arial" w:cs="Arial"/>
      <w:b/>
      <w:bCs/>
      <w:color w:val="000066"/>
      <w:kern w:val="36"/>
      <w:sz w:val="27"/>
      <w:szCs w:val="27"/>
    </w:rPr>
  </w:style>
  <w:style w:type="character" w:customStyle="1" w:styleId="style11">
    <w:name w:val="style11"/>
    <w:basedOn w:val="DefaultParagraphFont"/>
    <w:rsid w:val="00A77A7A"/>
    <w:rPr>
      <w:sz w:val="24"/>
      <w:szCs w:val="24"/>
    </w:rPr>
  </w:style>
  <w:style w:type="character" w:styleId="Emphasis">
    <w:name w:val="Emphasis"/>
    <w:basedOn w:val="DefaultParagraphFont"/>
    <w:uiPriority w:val="20"/>
    <w:qFormat/>
    <w:rsid w:val="00A77A7A"/>
    <w:rPr>
      <w:i/>
      <w:iCs/>
    </w:rPr>
  </w:style>
  <w:style w:type="paragraph" w:styleId="NormalWeb">
    <w:name w:val="Normal (Web)"/>
    <w:basedOn w:val="Normal"/>
    <w:uiPriority w:val="99"/>
    <w:unhideWhenUsed/>
    <w:rsid w:val="00A77A7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6F98"/>
    <w:pPr>
      <w:tabs>
        <w:tab w:val="center" w:pos="4680"/>
        <w:tab w:val="right" w:pos="9360"/>
      </w:tabs>
    </w:pPr>
  </w:style>
  <w:style w:type="character" w:customStyle="1" w:styleId="HeaderChar">
    <w:name w:val="Header Char"/>
    <w:basedOn w:val="DefaultParagraphFont"/>
    <w:link w:val="Header"/>
    <w:uiPriority w:val="99"/>
    <w:rsid w:val="007B6F98"/>
  </w:style>
  <w:style w:type="paragraph" w:styleId="Footer">
    <w:name w:val="footer"/>
    <w:basedOn w:val="Normal"/>
    <w:link w:val="FooterChar"/>
    <w:uiPriority w:val="99"/>
    <w:unhideWhenUsed/>
    <w:rsid w:val="007B6F98"/>
    <w:pPr>
      <w:tabs>
        <w:tab w:val="center" w:pos="4680"/>
        <w:tab w:val="right" w:pos="9360"/>
      </w:tabs>
    </w:pPr>
  </w:style>
  <w:style w:type="character" w:customStyle="1" w:styleId="FooterChar">
    <w:name w:val="Footer Char"/>
    <w:basedOn w:val="DefaultParagraphFont"/>
    <w:link w:val="Footer"/>
    <w:uiPriority w:val="99"/>
    <w:rsid w:val="007B6F98"/>
  </w:style>
  <w:style w:type="character" w:styleId="Hyperlink">
    <w:name w:val="Hyperlink"/>
    <w:basedOn w:val="DefaultParagraphFont"/>
    <w:uiPriority w:val="99"/>
    <w:unhideWhenUsed/>
    <w:rsid w:val="007B6F98"/>
    <w:rPr>
      <w:color w:val="0000FF" w:themeColor="hyperlink"/>
      <w:u w:val="single"/>
    </w:rPr>
  </w:style>
  <w:style w:type="character" w:styleId="FollowedHyperlink">
    <w:name w:val="FollowedHyperlink"/>
    <w:basedOn w:val="DefaultParagraphFont"/>
    <w:uiPriority w:val="99"/>
    <w:semiHidden/>
    <w:unhideWhenUsed/>
    <w:rsid w:val="007B6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2584">
      <w:bodyDiv w:val="1"/>
      <w:marLeft w:val="0"/>
      <w:marRight w:val="0"/>
      <w:marTop w:val="0"/>
      <w:marBottom w:val="0"/>
      <w:divBdr>
        <w:top w:val="none" w:sz="0" w:space="0" w:color="auto"/>
        <w:left w:val="none" w:sz="0" w:space="0" w:color="auto"/>
        <w:bottom w:val="none" w:sz="0" w:space="0" w:color="auto"/>
        <w:right w:val="none" w:sz="0" w:space="0" w:color="auto"/>
      </w:divBdr>
    </w:div>
    <w:div w:id="418598004">
      <w:bodyDiv w:val="1"/>
      <w:marLeft w:val="0"/>
      <w:marRight w:val="0"/>
      <w:marTop w:val="0"/>
      <w:marBottom w:val="0"/>
      <w:divBdr>
        <w:top w:val="none" w:sz="0" w:space="0" w:color="auto"/>
        <w:left w:val="none" w:sz="0" w:space="0" w:color="auto"/>
        <w:bottom w:val="none" w:sz="0" w:space="0" w:color="auto"/>
        <w:right w:val="none" w:sz="0" w:space="0" w:color="auto"/>
      </w:divBdr>
    </w:div>
    <w:div w:id="547494732">
      <w:bodyDiv w:val="1"/>
      <w:marLeft w:val="0"/>
      <w:marRight w:val="0"/>
      <w:marTop w:val="0"/>
      <w:marBottom w:val="0"/>
      <w:divBdr>
        <w:top w:val="none" w:sz="0" w:space="0" w:color="auto"/>
        <w:left w:val="none" w:sz="0" w:space="0" w:color="auto"/>
        <w:bottom w:val="none" w:sz="0" w:space="0" w:color="auto"/>
        <w:right w:val="none" w:sz="0" w:space="0" w:color="auto"/>
      </w:divBdr>
    </w:div>
    <w:div w:id="1350176585">
      <w:bodyDiv w:val="1"/>
      <w:marLeft w:val="0"/>
      <w:marRight w:val="0"/>
      <w:marTop w:val="0"/>
      <w:marBottom w:val="0"/>
      <w:divBdr>
        <w:top w:val="none" w:sz="0" w:space="0" w:color="auto"/>
        <w:left w:val="none" w:sz="0" w:space="0" w:color="auto"/>
        <w:bottom w:val="none" w:sz="0" w:space="0" w:color="auto"/>
        <w:right w:val="none" w:sz="0" w:space="0" w:color="auto"/>
      </w:divBdr>
    </w:div>
    <w:div w:id="1401631738">
      <w:bodyDiv w:val="1"/>
      <w:marLeft w:val="0"/>
      <w:marRight w:val="0"/>
      <w:marTop w:val="0"/>
      <w:marBottom w:val="0"/>
      <w:divBdr>
        <w:top w:val="none" w:sz="0" w:space="0" w:color="auto"/>
        <w:left w:val="none" w:sz="0" w:space="0" w:color="auto"/>
        <w:bottom w:val="none" w:sz="0" w:space="0" w:color="auto"/>
        <w:right w:val="none" w:sz="0" w:space="0" w:color="auto"/>
      </w:divBdr>
    </w:div>
    <w:div w:id="1827699227">
      <w:bodyDiv w:val="1"/>
      <w:marLeft w:val="0"/>
      <w:marRight w:val="0"/>
      <w:marTop w:val="0"/>
      <w:marBottom w:val="0"/>
      <w:divBdr>
        <w:top w:val="none" w:sz="0" w:space="0" w:color="auto"/>
        <w:left w:val="none" w:sz="0" w:space="0" w:color="auto"/>
        <w:bottom w:val="none" w:sz="0" w:space="0" w:color="auto"/>
        <w:right w:val="none" w:sz="0" w:space="0" w:color="auto"/>
      </w:divBdr>
    </w:div>
    <w:div w:id="1890217902">
      <w:bodyDiv w:val="1"/>
      <w:marLeft w:val="0"/>
      <w:marRight w:val="0"/>
      <w:marTop w:val="0"/>
      <w:marBottom w:val="0"/>
      <w:divBdr>
        <w:top w:val="none" w:sz="0" w:space="0" w:color="auto"/>
        <w:left w:val="none" w:sz="0" w:space="0" w:color="auto"/>
        <w:bottom w:val="none" w:sz="0" w:space="0" w:color="auto"/>
        <w:right w:val="none" w:sz="0" w:space="0" w:color="auto"/>
      </w:divBdr>
    </w:div>
    <w:div w:id="2015456690">
      <w:bodyDiv w:val="1"/>
      <w:marLeft w:val="0"/>
      <w:marRight w:val="0"/>
      <w:marTop w:val="0"/>
      <w:marBottom w:val="0"/>
      <w:divBdr>
        <w:top w:val="none" w:sz="0" w:space="0" w:color="auto"/>
        <w:left w:val="none" w:sz="0" w:space="0" w:color="auto"/>
        <w:bottom w:val="none" w:sz="0" w:space="0" w:color="auto"/>
        <w:right w:val="none" w:sz="0" w:space="0" w:color="auto"/>
      </w:divBdr>
    </w:div>
    <w:div w:id="21359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m.virginia.gov/hr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1.dhrm.virginia.gov/itech/hrpolicy" TargetMode="External"/><Relationship Id="rId4" Type="http://schemas.openxmlformats.org/officeDocument/2006/relationships/settings" Target="settings.xml"/><Relationship Id="rId9" Type="http://schemas.openxmlformats.org/officeDocument/2006/relationships/hyperlink" Target="http://adminfinance.umw.edu/hr/benefits/benefits-forms/tuition-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8</cp:revision>
  <dcterms:created xsi:type="dcterms:W3CDTF">2015-03-05T17:38:00Z</dcterms:created>
  <dcterms:modified xsi:type="dcterms:W3CDTF">2015-03-15T22:59:00Z</dcterms:modified>
</cp:coreProperties>
</file>