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A5" w:rsidRDefault="00D907A5" w:rsidP="00D907A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2286000" cy="714375"/>
            <wp:effectExtent l="0" t="0" r="0" b="9525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744" w:rsidRPr="003B3DE0" w:rsidRDefault="00775A55" w:rsidP="00D907A5">
      <w:pPr>
        <w:rPr>
          <w:b/>
          <w:bCs/>
        </w:rPr>
      </w:pPr>
      <w:r w:rsidRPr="003B3DE0">
        <w:rPr>
          <w:b/>
          <w:bCs/>
        </w:rPr>
        <w:t xml:space="preserve">Outside Employment </w:t>
      </w:r>
      <w:r w:rsidR="00786B5E" w:rsidRPr="003B3DE0">
        <w:rPr>
          <w:b/>
          <w:bCs/>
        </w:rPr>
        <w:t xml:space="preserve">Guidelines </w:t>
      </w:r>
    </w:p>
    <w:p w:rsidR="00786B5E" w:rsidRPr="003B3DE0" w:rsidRDefault="00175744" w:rsidP="00D907A5">
      <w:pPr>
        <w:rPr>
          <w:b/>
          <w:bCs/>
        </w:rPr>
      </w:pPr>
      <w:r w:rsidRPr="003B3DE0">
        <w:rPr>
          <w:b/>
          <w:bCs/>
        </w:rPr>
        <w:t xml:space="preserve">for Classified and Administrative and Professional Faculty  </w:t>
      </w:r>
    </w:p>
    <w:p w:rsidR="00775A55" w:rsidRPr="003B3DE0" w:rsidRDefault="00775A55">
      <w:pPr>
        <w:rPr>
          <w:u w:val="single"/>
        </w:rPr>
      </w:pPr>
    </w:p>
    <w:p w:rsidR="00D907A5" w:rsidRDefault="00D907A5" w:rsidP="00BE2C07">
      <w:pPr>
        <w:rPr>
          <w:rStyle w:val="apple-style-span"/>
          <w:color w:val="000000"/>
        </w:rPr>
      </w:pPr>
    </w:p>
    <w:p w:rsidR="00BE2C07" w:rsidRPr="00A5766E" w:rsidRDefault="00773349" w:rsidP="00BE2C07">
      <w:r w:rsidRPr="00A5766E">
        <w:rPr>
          <w:rStyle w:val="apple-style-span"/>
          <w:color w:val="000000"/>
        </w:rPr>
        <w:t xml:space="preserve">Under State policy, employees are required to obtain approval from their supervisor </w:t>
      </w:r>
      <w:r w:rsidR="003A33C7">
        <w:rPr>
          <w:rStyle w:val="apple-style-span"/>
          <w:color w:val="000000"/>
        </w:rPr>
        <w:t>for outside</w:t>
      </w:r>
      <w:r w:rsidRPr="00A5766E">
        <w:rPr>
          <w:rStyle w:val="apple-style-span"/>
          <w:color w:val="000000"/>
        </w:rPr>
        <w:t xml:space="preserve"> employment. </w:t>
      </w:r>
      <w:r w:rsidR="00BE2C07" w:rsidRPr="00A5766E">
        <w:t xml:space="preserve"> To protect</w:t>
      </w:r>
      <w:r w:rsidR="00D90CE7" w:rsidRPr="00A5766E">
        <w:t xml:space="preserve"> the </w:t>
      </w:r>
      <w:r w:rsidR="00C022B1" w:rsidRPr="00A5766E">
        <w:t>U</w:t>
      </w:r>
      <w:r w:rsidR="00D90CE7" w:rsidRPr="00A5766E">
        <w:t>niversity and its employees from actual or perceived</w:t>
      </w:r>
      <w:r w:rsidR="00BE2C07" w:rsidRPr="00A5766E">
        <w:t xml:space="preserve"> conflicts</w:t>
      </w:r>
      <w:r w:rsidR="00B80E09" w:rsidRPr="00A5766E">
        <w:t xml:space="preserve"> as a result of outside employment,</w:t>
      </w:r>
      <w:r w:rsidR="00BE2C07" w:rsidRPr="00A5766E">
        <w:t xml:space="preserve"> the </w:t>
      </w:r>
      <w:r w:rsidR="000703A8" w:rsidRPr="00A5766E">
        <w:t xml:space="preserve">University has adopted the </w:t>
      </w:r>
      <w:r w:rsidR="00BE2C07" w:rsidRPr="00A5766E">
        <w:t>following guidelines</w:t>
      </w:r>
      <w:r w:rsidR="00D90CE7" w:rsidRPr="00A5766E">
        <w:t>.</w:t>
      </w:r>
    </w:p>
    <w:p w:rsidR="00BE2C07" w:rsidRPr="00A5766E" w:rsidRDefault="00BE2C07" w:rsidP="00BE2C07"/>
    <w:p w:rsidR="00B72A2B" w:rsidRPr="00A5766E" w:rsidRDefault="00D90CE7" w:rsidP="00773349">
      <w:pPr>
        <w:numPr>
          <w:ilvl w:val="0"/>
          <w:numId w:val="3"/>
        </w:numPr>
      </w:pPr>
      <w:r w:rsidRPr="00A5766E">
        <w:t>Employees must submit a</w:t>
      </w:r>
      <w:r w:rsidR="00E530F7" w:rsidRPr="00A5766E">
        <w:t xml:space="preserve"> </w:t>
      </w:r>
      <w:r w:rsidR="006307F3" w:rsidRPr="00A5766E">
        <w:t>written request for approval of</w:t>
      </w:r>
      <w:r w:rsidR="00512657" w:rsidRPr="00A5766E">
        <w:t xml:space="preserve"> </w:t>
      </w:r>
      <w:r w:rsidR="006307F3" w:rsidRPr="00A5766E">
        <w:t>outside employment</w:t>
      </w:r>
      <w:r w:rsidR="00B72A2B" w:rsidRPr="00A5766E">
        <w:t>, including self-employment</w:t>
      </w:r>
      <w:r w:rsidR="006307F3" w:rsidRPr="00A5766E">
        <w:t xml:space="preserve">, </w:t>
      </w:r>
      <w:r w:rsidRPr="00A5766E">
        <w:t>to their supervisors</w:t>
      </w:r>
      <w:r w:rsidR="00CB5123" w:rsidRPr="00A5766E">
        <w:t xml:space="preserve">. </w:t>
      </w:r>
    </w:p>
    <w:p w:rsidR="00773349" w:rsidRPr="00A5766E" w:rsidRDefault="00773349" w:rsidP="00773349">
      <w:pPr>
        <w:numPr>
          <w:ilvl w:val="0"/>
          <w:numId w:val="3"/>
        </w:numPr>
      </w:pPr>
      <w:r w:rsidRPr="00A5766E">
        <w:t xml:space="preserve">Employees </w:t>
      </w:r>
      <w:r w:rsidR="009038EC" w:rsidRPr="00A5766E">
        <w:t xml:space="preserve">may </w:t>
      </w:r>
      <w:r w:rsidRPr="00A5766E">
        <w:t xml:space="preserve">not engage in outside employment during the hours that they are employed by </w:t>
      </w:r>
      <w:r w:rsidR="000703A8" w:rsidRPr="00A5766E">
        <w:t>the University</w:t>
      </w:r>
      <w:r w:rsidRPr="00A5766E">
        <w:t xml:space="preserve"> unless annual leave is taken during these periods of time.</w:t>
      </w:r>
    </w:p>
    <w:p w:rsidR="00773349" w:rsidRPr="00A5766E" w:rsidRDefault="000573AB" w:rsidP="00773349">
      <w:pPr>
        <w:numPr>
          <w:ilvl w:val="0"/>
          <w:numId w:val="3"/>
        </w:numPr>
      </w:pPr>
      <w:r w:rsidRPr="00A5766E">
        <w:t>U</w:t>
      </w:r>
      <w:r w:rsidR="00773349" w:rsidRPr="00A5766E">
        <w:t xml:space="preserve">niversity resources </w:t>
      </w:r>
      <w:r w:rsidR="009038EC" w:rsidRPr="00A5766E">
        <w:t>may</w:t>
      </w:r>
      <w:r w:rsidRPr="00A5766E">
        <w:t xml:space="preserve"> not be used to </w:t>
      </w:r>
      <w:r w:rsidR="003B3DE0" w:rsidRPr="00A5766E">
        <w:t xml:space="preserve">perform </w:t>
      </w:r>
      <w:r w:rsidRPr="00A5766E">
        <w:t>ou</w:t>
      </w:r>
      <w:r w:rsidR="00773349" w:rsidRPr="00A5766E">
        <w:t>tside employment.</w:t>
      </w:r>
    </w:p>
    <w:p w:rsidR="00773349" w:rsidRPr="00A5766E" w:rsidRDefault="00773349" w:rsidP="00773349">
      <w:pPr>
        <w:numPr>
          <w:ilvl w:val="0"/>
          <w:numId w:val="3"/>
        </w:numPr>
      </w:pPr>
      <w:r w:rsidRPr="00A5766E">
        <w:t xml:space="preserve">An employee may be disciplined for outside employment that </w:t>
      </w:r>
      <w:r w:rsidR="00D90CE7" w:rsidRPr="00A5766E">
        <w:t xml:space="preserve">is not approved, </w:t>
      </w:r>
      <w:r w:rsidRPr="00A5766E">
        <w:t>occurs during work hours, or is determined to be in violation of</w:t>
      </w:r>
      <w:r w:rsidR="00CB5123" w:rsidRPr="00A5766E">
        <w:t xml:space="preserve"> </w:t>
      </w:r>
      <w:r w:rsidR="00A5766E">
        <w:t>U</w:t>
      </w:r>
      <w:r w:rsidR="00CB5123" w:rsidRPr="00A5766E">
        <w:t>niversity guidelines, state policy or the</w:t>
      </w:r>
      <w:r w:rsidRPr="00A5766E">
        <w:t xml:space="preserve"> Virginia Conflict of Interest Act.</w:t>
      </w:r>
    </w:p>
    <w:p w:rsidR="00C022B1" w:rsidRPr="00A5766E" w:rsidRDefault="00C022B1" w:rsidP="00773349">
      <w:pPr>
        <w:numPr>
          <w:ilvl w:val="0"/>
          <w:numId w:val="3"/>
        </w:numPr>
      </w:pPr>
      <w:r w:rsidRPr="00A5766E">
        <w:t>Supervisor approvals are subject to ongoing review for impact on University employment</w:t>
      </w:r>
      <w:r w:rsidR="00A5766E">
        <w:t>.</w:t>
      </w:r>
    </w:p>
    <w:p w:rsidR="00D45B8E" w:rsidRPr="00A5766E" w:rsidRDefault="00D45B8E" w:rsidP="00D45B8E"/>
    <w:p w:rsidR="00D45B8E" w:rsidRPr="00A5766E" w:rsidRDefault="00D45B8E" w:rsidP="00D45B8E">
      <w:r w:rsidRPr="00A5766E">
        <w:rPr>
          <w:b/>
        </w:rPr>
        <w:t>Related Policies:</w:t>
      </w:r>
      <w:r w:rsidRPr="00A5766E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616"/>
      </w:tblGrid>
      <w:tr w:rsidR="00D907A5" w:rsidRPr="00D907A5" w:rsidTr="00FB5110">
        <w:tc>
          <w:tcPr>
            <w:tcW w:w="4320" w:type="dxa"/>
          </w:tcPr>
          <w:p w:rsidR="00D907A5" w:rsidRPr="00D907A5" w:rsidRDefault="00D907A5" w:rsidP="007F3CEF">
            <w:pPr>
              <w:pStyle w:val="Heading1"/>
              <w:rPr>
                <w:u w:val="none"/>
              </w:rPr>
            </w:pPr>
            <w:r w:rsidRPr="00D907A5">
              <w:rPr>
                <w:u w:val="none"/>
              </w:rPr>
              <w:t>UMW Employee Handbook for Administrative/Professional Faculty, Classified and Wage Employees (</w:t>
            </w:r>
            <w:r w:rsidRPr="00D907A5">
              <w:rPr>
                <w:rFonts w:ascii="TimesNewRomanPS-BoldMT" w:hAnsi="TimesNewRomanPS-BoldMT"/>
                <w:bCs/>
                <w:u w:val="none"/>
              </w:rPr>
              <w:t>sections on</w:t>
            </w:r>
            <w:r w:rsidRPr="00D907A5">
              <w:rPr>
                <w:rFonts w:ascii="TimesNewRomanPS-BoldMT" w:hAnsi="TimesNewRomanPS-BoldMT"/>
                <w:b/>
                <w:bCs/>
                <w:u w:val="none"/>
              </w:rPr>
              <w:t xml:space="preserve"> </w:t>
            </w:r>
            <w:r w:rsidRPr="00D907A5">
              <w:rPr>
                <w:u w:val="none"/>
              </w:rPr>
              <w:t>outside employment and intellectual property):</w:t>
            </w:r>
          </w:p>
        </w:tc>
        <w:tc>
          <w:tcPr>
            <w:tcW w:w="5616" w:type="dxa"/>
          </w:tcPr>
          <w:p w:rsidR="00D907A5" w:rsidRPr="00D907A5" w:rsidRDefault="006964FF" w:rsidP="00AA4FA3">
            <w:pPr>
              <w:rPr>
                <w:rFonts w:ascii="Calibri" w:hAnsi="Calibri"/>
              </w:rPr>
            </w:pPr>
            <w:hyperlink r:id="rId9" w:history="1">
              <w:r w:rsidRPr="006964FF">
                <w:rPr>
                  <w:rStyle w:val="Hyperlink"/>
                  <w:bCs/>
                </w:rPr>
                <w:t>http://adminfinance.umw.edu/hr/handbooks/umw-employee-handbook-for-ap-faculty-classified-and-wage-employees-2</w:t>
              </w:r>
            </w:hyperlink>
            <w:bookmarkStart w:id="0" w:name="_GoBack"/>
            <w:bookmarkEnd w:id="0"/>
          </w:p>
        </w:tc>
      </w:tr>
      <w:tr w:rsidR="00D907A5" w:rsidRPr="00D907A5" w:rsidTr="00FB5110">
        <w:tc>
          <w:tcPr>
            <w:tcW w:w="4320" w:type="dxa"/>
          </w:tcPr>
          <w:p w:rsidR="00D907A5" w:rsidRPr="00D907A5" w:rsidRDefault="00D907A5" w:rsidP="00D907A5">
            <w:r w:rsidRPr="00D907A5">
              <w:t xml:space="preserve">DHRM Policy 1.60 (Standards of Conduct): </w:t>
            </w:r>
          </w:p>
        </w:tc>
        <w:tc>
          <w:tcPr>
            <w:tcW w:w="5616" w:type="dxa"/>
          </w:tcPr>
          <w:p w:rsidR="00D907A5" w:rsidRPr="00D907A5" w:rsidRDefault="007B2E7F" w:rsidP="007F3CEF">
            <w:hyperlink r:id="rId10" w:history="1">
              <w:r w:rsidR="00FB5110" w:rsidRPr="00FB5110">
                <w:rPr>
                  <w:rStyle w:val="Hyperlink"/>
                </w:rPr>
                <w:t>http://www.dhrm.virginia.gov/docs/default-source/hrpolicy/pol1_60.pdf?sfvrsn=2</w:t>
              </w:r>
            </w:hyperlink>
          </w:p>
        </w:tc>
      </w:tr>
    </w:tbl>
    <w:p w:rsidR="001E694F" w:rsidRDefault="001E694F" w:rsidP="001E694F">
      <w:pPr>
        <w:rPr>
          <w:b/>
        </w:rPr>
      </w:pPr>
    </w:p>
    <w:p w:rsidR="00786B5E" w:rsidRPr="00A5766E" w:rsidRDefault="0037753F" w:rsidP="001E694F">
      <w:pPr>
        <w:jc w:val="center"/>
        <w:rPr>
          <w:b/>
        </w:rPr>
      </w:pPr>
      <w:r w:rsidRPr="00A5766E">
        <w:rPr>
          <w:b/>
        </w:rPr>
        <w:t>Outside Employment Request and Approval</w:t>
      </w:r>
    </w:p>
    <w:p w:rsidR="00133F7E" w:rsidRDefault="00133F7E" w:rsidP="00A5766E">
      <w:pPr>
        <w:jc w:val="both"/>
      </w:pPr>
    </w:p>
    <w:p w:rsidR="00786B5E" w:rsidRPr="00A5766E" w:rsidRDefault="00786B5E" w:rsidP="00A5766E">
      <w:pPr>
        <w:jc w:val="both"/>
      </w:pPr>
      <w:r w:rsidRPr="00A5766E">
        <w:t>Employee Nam</w:t>
      </w:r>
      <w:r w:rsidR="00D45B8E" w:rsidRPr="00A5766E">
        <w:t>e:</w:t>
      </w:r>
      <w:r w:rsidR="00F82552">
        <w:t xml:space="preserve"> </w:t>
      </w:r>
      <w:r w:rsidR="00D45B8E" w:rsidRPr="00A5766E">
        <w:t>_</w:t>
      </w:r>
      <w:r w:rsidR="003570F6" w:rsidRPr="00A5766E">
        <w:t>_______________________</w:t>
      </w:r>
      <w:r w:rsidR="003570F6" w:rsidRPr="00A5766E">
        <w:tab/>
      </w:r>
      <w:r w:rsidR="00D45B8E" w:rsidRPr="00A5766E">
        <w:t>Department:</w:t>
      </w:r>
      <w:r w:rsidR="00F82552">
        <w:t xml:space="preserve"> </w:t>
      </w:r>
      <w:r w:rsidR="00D45B8E" w:rsidRPr="00A5766E">
        <w:t>____________</w:t>
      </w:r>
      <w:r w:rsidR="00A5766E">
        <w:t>_______</w:t>
      </w:r>
      <w:r w:rsidR="00D45B8E" w:rsidRPr="00A5766E">
        <w:t>___________</w:t>
      </w:r>
      <w:r w:rsidRPr="00A5766E">
        <w:t xml:space="preserve"> </w:t>
      </w:r>
      <w:r w:rsidRPr="00A5766E">
        <w:tab/>
      </w:r>
    </w:p>
    <w:p w:rsidR="00DE5979" w:rsidRPr="00A5766E" w:rsidRDefault="00786B5E" w:rsidP="00F82552">
      <w:pPr>
        <w:pStyle w:val="BodyTextIndent3"/>
        <w:ind w:left="0" w:right="1440"/>
        <w:jc w:val="left"/>
        <w:rPr>
          <w:sz w:val="24"/>
          <w:szCs w:val="24"/>
        </w:rPr>
      </w:pPr>
      <w:r w:rsidRPr="00A5766E">
        <w:rPr>
          <w:sz w:val="24"/>
          <w:szCs w:val="24"/>
        </w:rPr>
        <w:t xml:space="preserve">Describe </w:t>
      </w:r>
      <w:r w:rsidR="00D45B8E" w:rsidRPr="00A5766E">
        <w:rPr>
          <w:sz w:val="24"/>
          <w:szCs w:val="24"/>
        </w:rPr>
        <w:t xml:space="preserve">outside employment, including </w:t>
      </w:r>
      <w:r w:rsidR="00B80E09" w:rsidRPr="00A5766E">
        <w:rPr>
          <w:sz w:val="24"/>
          <w:szCs w:val="24"/>
        </w:rPr>
        <w:t xml:space="preserve">employer and </w:t>
      </w:r>
      <w:r w:rsidR="00D45B8E" w:rsidRPr="00A5766E">
        <w:rPr>
          <w:sz w:val="24"/>
          <w:szCs w:val="24"/>
        </w:rPr>
        <w:t xml:space="preserve">expected hours </w:t>
      </w:r>
      <w:r w:rsidR="00B80E09" w:rsidRPr="00A5766E">
        <w:rPr>
          <w:sz w:val="24"/>
          <w:szCs w:val="24"/>
        </w:rPr>
        <w:t>of work</w:t>
      </w:r>
      <w:r w:rsidR="00D45B8E" w:rsidRPr="00A5766E">
        <w:rPr>
          <w:sz w:val="24"/>
          <w:szCs w:val="24"/>
        </w:rPr>
        <w:t xml:space="preserve"> (may use </w:t>
      </w:r>
      <w:r w:rsidR="00F82552">
        <w:rPr>
          <w:sz w:val="24"/>
          <w:szCs w:val="24"/>
        </w:rPr>
        <w:t>a</w:t>
      </w:r>
      <w:r w:rsidR="00D45B8E" w:rsidRPr="00A5766E">
        <w:rPr>
          <w:sz w:val="24"/>
          <w:szCs w:val="24"/>
        </w:rPr>
        <w:t>ttachment)</w:t>
      </w:r>
      <w:r w:rsidRPr="00A5766E">
        <w:rPr>
          <w:sz w:val="24"/>
          <w:szCs w:val="24"/>
        </w:rPr>
        <w:t xml:space="preserve">: </w:t>
      </w:r>
    </w:p>
    <w:p w:rsidR="00DE5979" w:rsidRPr="00A5766E" w:rsidRDefault="00DE5979" w:rsidP="00D45B8E">
      <w:pPr>
        <w:pStyle w:val="BodyTextIndent3"/>
        <w:ind w:left="0" w:right="1440"/>
        <w:rPr>
          <w:sz w:val="24"/>
          <w:szCs w:val="24"/>
        </w:rPr>
      </w:pPr>
    </w:p>
    <w:p w:rsidR="00786B5E" w:rsidRPr="00A5766E" w:rsidRDefault="00786B5E">
      <w:pPr>
        <w:ind w:firstLine="1440"/>
        <w:jc w:val="both"/>
      </w:pPr>
    </w:p>
    <w:p w:rsidR="00133F7E" w:rsidRDefault="00133F7E" w:rsidP="00D45B8E">
      <w:pPr>
        <w:pStyle w:val="BodyTextIndent"/>
        <w:ind w:left="0"/>
        <w:jc w:val="both"/>
      </w:pPr>
    </w:p>
    <w:p w:rsidR="00767317" w:rsidRDefault="00767317" w:rsidP="00D45B8E">
      <w:pPr>
        <w:pStyle w:val="BodyTextIndent"/>
        <w:ind w:left="0"/>
        <w:jc w:val="both"/>
      </w:pPr>
    </w:p>
    <w:p w:rsidR="00DE5979" w:rsidRPr="00A5766E" w:rsidRDefault="009038EC" w:rsidP="00D45B8E">
      <w:pPr>
        <w:pStyle w:val="BodyTextIndent"/>
        <w:ind w:left="0"/>
        <w:jc w:val="both"/>
      </w:pPr>
      <w:r w:rsidRPr="00A5766E">
        <w:br/>
      </w:r>
    </w:p>
    <w:p w:rsidR="00786B5E" w:rsidRPr="00A5766E" w:rsidRDefault="009038EC" w:rsidP="00D45B8E">
      <w:pPr>
        <w:pStyle w:val="BodyTextIndent"/>
        <w:ind w:left="0"/>
        <w:jc w:val="both"/>
      </w:pPr>
      <w:r w:rsidRPr="00A5766E">
        <w:t xml:space="preserve">By </w:t>
      </w:r>
      <w:r w:rsidR="00B80E09" w:rsidRPr="00A5766E">
        <w:t xml:space="preserve">my </w:t>
      </w:r>
      <w:r w:rsidRPr="00A5766E">
        <w:t xml:space="preserve">signature, I indicate </w:t>
      </w:r>
      <w:r w:rsidR="00B80E09" w:rsidRPr="00A5766E">
        <w:t xml:space="preserve">that </w:t>
      </w:r>
      <w:r w:rsidRPr="00A5766E">
        <w:t>I</w:t>
      </w:r>
      <w:r w:rsidR="00786B5E" w:rsidRPr="00A5766E">
        <w:t xml:space="preserve"> understand the </w:t>
      </w:r>
      <w:r w:rsidRPr="00A5766E">
        <w:t>Outside Employment Guidelines.</w:t>
      </w:r>
    </w:p>
    <w:p w:rsidR="00786B5E" w:rsidRPr="00A5766E" w:rsidRDefault="00786B5E">
      <w:pPr>
        <w:ind w:left="1440"/>
        <w:jc w:val="both"/>
        <w:rPr>
          <w:b/>
          <w:bCs/>
          <w:i/>
          <w:iCs/>
        </w:rPr>
      </w:pPr>
    </w:p>
    <w:p w:rsidR="00F82552" w:rsidRDefault="00F82552" w:rsidP="00C80230">
      <w:pPr>
        <w:pStyle w:val="BodyTextIndent"/>
        <w:ind w:left="0"/>
        <w:jc w:val="both"/>
      </w:pPr>
      <w:r>
        <w:t>______________________________</w:t>
      </w:r>
      <w:r>
        <w:tab/>
      </w:r>
      <w:r>
        <w:tab/>
        <w:t>__________________________________</w:t>
      </w:r>
    </w:p>
    <w:p w:rsidR="00C022B1" w:rsidRPr="00A5766E" w:rsidRDefault="00786B5E" w:rsidP="00C80230">
      <w:pPr>
        <w:pStyle w:val="BodyTextIndent"/>
        <w:ind w:left="0"/>
        <w:jc w:val="both"/>
      </w:pPr>
      <w:r w:rsidRPr="00A5766E">
        <w:t>Employee Signature</w:t>
      </w:r>
      <w:r w:rsidR="00B80E09" w:rsidRPr="00A5766E">
        <w:t xml:space="preserve"> and date</w:t>
      </w:r>
      <w:r w:rsidR="003570F6" w:rsidRPr="00A5766E">
        <w:tab/>
      </w:r>
      <w:r w:rsidR="003570F6" w:rsidRPr="00A5766E">
        <w:tab/>
      </w:r>
      <w:r w:rsidR="003570F6" w:rsidRPr="00A5766E">
        <w:tab/>
      </w:r>
      <w:r w:rsidR="003570F6" w:rsidRPr="00A5766E">
        <w:tab/>
      </w:r>
      <w:r w:rsidRPr="00A5766E">
        <w:t>Supervisor</w:t>
      </w:r>
      <w:r w:rsidR="00B80E09" w:rsidRPr="00A5766E">
        <w:t xml:space="preserve"> name, signature and date</w:t>
      </w:r>
      <w:r w:rsidRPr="00A5766E">
        <w:t xml:space="preserve"> </w:t>
      </w:r>
    </w:p>
    <w:p w:rsidR="00C022B1" w:rsidRPr="00A5766E" w:rsidRDefault="00C022B1" w:rsidP="00C80230">
      <w:pPr>
        <w:pStyle w:val="BodyTextIndent"/>
        <w:ind w:left="0"/>
        <w:jc w:val="both"/>
      </w:pPr>
    </w:p>
    <w:p w:rsidR="00B80E09" w:rsidRPr="00A5766E" w:rsidRDefault="00C80230" w:rsidP="00C80230">
      <w:pPr>
        <w:pStyle w:val="BodyTextIndent"/>
        <w:ind w:left="0"/>
        <w:jc w:val="both"/>
        <w:rPr>
          <w:b/>
        </w:rPr>
      </w:pPr>
      <w:r w:rsidRPr="00A5766E">
        <w:rPr>
          <w:b/>
        </w:rPr>
        <w:sym w:font="Symbol" w:char="F0F0"/>
      </w:r>
      <w:r w:rsidRPr="00A5766E">
        <w:rPr>
          <w:b/>
        </w:rPr>
        <w:t xml:space="preserve"> Request Approved  </w:t>
      </w:r>
    </w:p>
    <w:p w:rsidR="00DE5979" w:rsidRPr="00A5766E" w:rsidRDefault="00DE5979" w:rsidP="00C80230">
      <w:pPr>
        <w:pStyle w:val="BodyTextIndent"/>
        <w:ind w:left="0"/>
        <w:jc w:val="both"/>
        <w:rPr>
          <w:b/>
        </w:rPr>
      </w:pPr>
    </w:p>
    <w:p w:rsidR="00C80230" w:rsidRPr="00A5766E" w:rsidRDefault="00133F7E" w:rsidP="00C80230">
      <w:pPr>
        <w:pStyle w:val="BodyTextIndent"/>
        <w:ind w:left="0"/>
        <w:jc w:val="both"/>
        <w:rPr>
          <w:b/>
        </w:rPr>
      </w:pPr>
      <w:r>
        <w:rPr>
          <w:b/>
        </w:rPr>
        <w:t>A</w:t>
      </w:r>
      <w:r w:rsidR="000703A8" w:rsidRPr="00A5766E">
        <w:rPr>
          <w:b/>
        </w:rPr>
        <w:t xml:space="preserve"> copy of this</w:t>
      </w:r>
      <w:r w:rsidR="00D90CE7" w:rsidRPr="00A5766E">
        <w:rPr>
          <w:b/>
        </w:rPr>
        <w:t xml:space="preserve"> form must be maintained in the </w:t>
      </w:r>
      <w:r w:rsidR="00E530F7" w:rsidRPr="00A5766E">
        <w:rPr>
          <w:b/>
        </w:rPr>
        <w:t xml:space="preserve">supervisor’s file for this </w:t>
      </w:r>
      <w:r w:rsidR="00B80E09" w:rsidRPr="00A5766E">
        <w:rPr>
          <w:b/>
        </w:rPr>
        <w:t>employee and</w:t>
      </w:r>
      <w:r w:rsidR="00D90CE7" w:rsidRPr="00A5766E">
        <w:rPr>
          <w:b/>
        </w:rPr>
        <w:t xml:space="preserve"> updated as needed.</w:t>
      </w:r>
    </w:p>
    <w:sectPr w:rsidR="00C80230" w:rsidRPr="00A5766E" w:rsidSect="00F82552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7F" w:rsidRDefault="007B2E7F" w:rsidP="00DE5979">
      <w:r>
        <w:separator/>
      </w:r>
    </w:p>
  </w:endnote>
  <w:endnote w:type="continuationSeparator" w:id="0">
    <w:p w:rsidR="007B2E7F" w:rsidRDefault="007B2E7F" w:rsidP="00DE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79" w:rsidRPr="00D907A5" w:rsidRDefault="00DE5979">
    <w:pPr>
      <w:pStyle w:val="Footer"/>
      <w:rPr>
        <w:sz w:val="18"/>
      </w:rPr>
    </w:pPr>
    <w:r w:rsidRPr="00D907A5">
      <w:rPr>
        <w:sz w:val="18"/>
      </w:rPr>
      <w:t>Office of Human Resources</w:t>
    </w:r>
  </w:p>
  <w:p w:rsidR="00DE5979" w:rsidRPr="00D907A5" w:rsidRDefault="00A916F8">
    <w:pPr>
      <w:pStyle w:val="Footer"/>
      <w:rPr>
        <w:sz w:val="18"/>
      </w:rPr>
    </w:pPr>
    <w:r w:rsidRPr="00D907A5">
      <w:rPr>
        <w:sz w:val="18"/>
      </w:rPr>
      <w:t>Approved January 12, 2011</w:t>
    </w:r>
  </w:p>
  <w:p w:rsidR="00D907A5" w:rsidRPr="00D907A5" w:rsidRDefault="00D907A5">
    <w:pPr>
      <w:pStyle w:val="Footer"/>
      <w:rPr>
        <w:sz w:val="18"/>
      </w:rPr>
    </w:pPr>
    <w:r w:rsidRPr="00D907A5">
      <w:rPr>
        <w:sz w:val="18"/>
      </w:rPr>
      <w:t>Revised February 21,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7F" w:rsidRDefault="007B2E7F" w:rsidP="00DE5979">
      <w:r>
        <w:separator/>
      </w:r>
    </w:p>
  </w:footnote>
  <w:footnote w:type="continuationSeparator" w:id="0">
    <w:p w:rsidR="007B2E7F" w:rsidRDefault="007B2E7F" w:rsidP="00DE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813"/>
    <w:multiLevelType w:val="hybridMultilevel"/>
    <w:tmpl w:val="2C700A42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823087"/>
    <w:multiLevelType w:val="hybridMultilevel"/>
    <w:tmpl w:val="B76E6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13A9"/>
    <w:multiLevelType w:val="hybridMultilevel"/>
    <w:tmpl w:val="ED22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6560"/>
    <w:multiLevelType w:val="hybridMultilevel"/>
    <w:tmpl w:val="9C0E4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D0BB0"/>
    <w:multiLevelType w:val="hybridMultilevel"/>
    <w:tmpl w:val="12F24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D73CF"/>
    <w:multiLevelType w:val="hybridMultilevel"/>
    <w:tmpl w:val="15048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A1"/>
    <w:rsid w:val="000573AB"/>
    <w:rsid w:val="000703A8"/>
    <w:rsid w:val="000E65A5"/>
    <w:rsid w:val="00133F7E"/>
    <w:rsid w:val="00175744"/>
    <w:rsid w:val="00185591"/>
    <w:rsid w:val="001B3CB1"/>
    <w:rsid w:val="001B6F43"/>
    <w:rsid w:val="001E694F"/>
    <w:rsid w:val="0021149A"/>
    <w:rsid w:val="003570F6"/>
    <w:rsid w:val="0037753F"/>
    <w:rsid w:val="00384ADD"/>
    <w:rsid w:val="003A33C7"/>
    <w:rsid w:val="003B3DE0"/>
    <w:rsid w:val="003D732C"/>
    <w:rsid w:val="00474F1D"/>
    <w:rsid w:val="0048765A"/>
    <w:rsid w:val="004B3164"/>
    <w:rsid w:val="004D6DA7"/>
    <w:rsid w:val="00512657"/>
    <w:rsid w:val="00623FE0"/>
    <w:rsid w:val="006307F3"/>
    <w:rsid w:val="006964FF"/>
    <w:rsid w:val="006A2864"/>
    <w:rsid w:val="006C1AC8"/>
    <w:rsid w:val="007236BC"/>
    <w:rsid w:val="00754E5F"/>
    <w:rsid w:val="00767317"/>
    <w:rsid w:val="00773349"/>
    <w:rsid w:val="00775A55"/>
    <w:rsid w:val="00786B5E"/>
    <w:rsid w:val="007B2E7F"/>
    <w:rsid w:val="007E5124"/>
    <w:rsid w:val="00832656"/>
    <w:rsid w:val="008434B1"/>
    <w:rsid w:val="00856E14"/>
    <w:rsid w:val="00876441"/>
    <w:rsid w:val="008A0704"/>
    <w:rsid w:val="009038EC"/>
    <w:rsid w:val="0093730D"/>
    <w:rsid w:val="0095768D"/>
    <w:rsid w:val="00972B1F"/>
    <w:rsid w:val="00A5213F"/>
    <w:rsid w:val="00A5766E"/>
    <w:rsid w:val="00A916F8"/>
    <w:rsid w:val="00AA78CB"/>
    <w:rsid w:val="00B35B62"/>
    <w:rsid w:val="00B71EF4"/>
    <w:rsid w:val="00B72A2B"/>
    <w:rsid w:val="00B80E09"/>
    <w:rsid w:val="00BC396B"/>
    <w:rsid w:val="00BE2C07"/>
    <w:rsid w:val="00BF525C"/>
    <w:rsid w:val="00C00734"/>
    <w:rsid w:val="00C022B1"/>
    <w:rsid w:val="00C41DFA"/>
    <w:rsid w:val="00C80230"/>
    <w:rsid w:val="00CB5123"/>
    <w:rsid w:val="00D2301F"/>
    <w:rsid w:val="00D45B8E"/>
    <w:rsid w:val="00D907A5"/>
    <w:rsid w:val="00D90CE7"/>
    <w:rsid w:val="00DC08A1"/>
    <w:rsid w:val="00DE5979"/>
    <w:rsid w:val="00DE7D5F"/>
    <w:rsid w:val="00E116C5"/>
    <w:rsid w:val="00E1494D"/>
    <w:rsid w:val="00E20DD7"/>
    <w:rsid w:val="00E530F7"/>
    <w:rsid w:val="00E55ABE"/>
    <w:rsid w:val="00E60CD1"/>
    <w:rsid w:val="00E71690"/>
    <w:rsid w:val="00F23759"/>
    <w:rsid w:val="00F43B36"/>
    <w:rsid w:val="00F74949"/>
    <w:rsid w:val="00F82552"/>
    <w:rsid w:val="00FB5110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C20F69-6EA8-45FF-9DAD-EC938B7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2160" w:right="1620"/>
      <w:jc w:val="center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1440"/>
      <w:jc w:val="center"/>
    </w:pPr>
    <w:rPr>
      <w:sz w:val="20"/>
    </w:rPr>
  </w:style>
  <w:style w:type="paragraph" w:styleId="BodyTextIndent3">
    <w:name w:val="Body Text Indent 3"/>
    <w:basedOn w:val="Normal"/>
    <w:pPr>
      <w:ind w:left="1440"/>
      <w:jc w:val="both"/>
    </w:pPr>
    <w:rPr>
      <w:sz w:val="19"/>
      <w:szCs w:val="19"/>
    </w:rPr>
  </w:style>
  <w:style w:type="character" w:styleId="Hyperlink">
    <w:name w:val="Hyperlink"/>
    <w:basedOn w:val="DefaultParagraphFont"/>
    <w:rsid w:val="00775A55"/>
    <w:rPr>
      <w:color w:val="0000FF"/>
      <w:u w:val="single"/>
    </w:rPr>
  </w:style>
  <w:style w:type="paragraph" w:styleId="NormalWeb">
    <w:name w:val="Normal (Web)"/>
    <w:basedOn w:val="Normal"/>
    <w:rsid w:val="00BE2C07"/>
  </w:style>
  <w:style w:type="character" w:customStyle="1" w:styleId="apple-style-span">
    <w:name w:val="apple-style-span"/>
    <w:basedOn w:val="DefaultParagraphFont"/>
    <w:rsid w:val="00773349"/>
  </w:style>
  <w:style w:type="paragraph" w:styleId="BalloonText">
    <w:name w:val="Balloon Text"/>
    <w:basedOn w:val="Normal"/>
    <w:semiHidden/>
    <w:rsid w:val="00773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979"/>
    <w:rPr>
      <w:sz w:val="24"/>
      <w:szCs w:val="24"/>
    </w:rPr>
  </w:style>
  <w:style w:type="paragraph" w:styleId="Footer">
    <w:name w:val="footer"/>
    <w:basedOn w:val="Normal"/>
    <w:link w:val="FooterChar"/>
    <w:rsid w:val="00DE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979"/>
    <w:rPr>
      <w:sz w:val="24"/>
      <w:szCs w:val="24"/>
    </w:rPr>
  </w:style>
  <w:style w:type="character" w:styleId="FollowedHyperlink">
    <w:name w:val="FollowedHyperlink"/>
    <w:basedOn w:val="DefaultParagraphFont"/>
    <w:rsid w:val="00C022B1"/>
    <w:rPr>
      <w:color w:val="800080"/>
      <w:u w:val="single"/>
    </w:rPr>
  </w:style>
  <w:style w:type="table" w:styleId="TableGrid">
    <w:name w:val="Table Grid"/>
    <w:basedOn w:val="TableNormal"/>
    <w:rsid w:val="00D9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hrm.virginia.gov/docs/default-source/hrpolicy/pol1_60.pdf?sfvrsn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finance.umw.edu/hr/handbooks/umw-employee-handbook-for-ap-faculty-classified-and-wage-employee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081E-1CC5-46C3-8782-23B11D8B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Dominion University Classified Employee Working Additional Hours for the Old Dominion University Research Foundation (ODUR</vt:lpstr>
    </vt:vector>
  </TitlesOfParts>
  <Company>Old Dominion University</Company>
  <LinksUpToDate>false</LinksUpToDate>
  <CharactersWithSpaces>2238</CharactersWithSpaces>
  <SharedDoc>false</SharedDoc>
  <HLinks>
    <vt:vector size="24" baseType="variant">
      <vt:variant>
        <vt:i4>6946845</vt:i4>
      </vt:variant>
      <vt:variant>
        <vt:i4>9</vt:i4>
      </vt:variant>
      <vt:variant>
        <vt:i4>0</vt:i4>
      </vt:variant>
      <vt:variant>
        <vt:i4>5</vt:i4>
      </vt:variant>
      <vt:variant>
        <vt:lpwstr>http://www.oag.state.va.us/LEGAL_LEGIS/COI/</vt:lpwstr>
      </vt:variant>
      <vt:variant>
        <vt:lpwstr/>
      </vt:variant>
      <vt:variant>
        <vt:i4>8061017</vt:i4>
      </vt:variant>
      <vt:variant>
        <vt:i4>6</vt:i4>
      </vt:variant>
      <vt:variant>
        <vt:i4>0</vt:i4>
      </vt:variant>
      <vt:variant>
        <vt:i4>5</vt:i4>
      </vt:variant>
      <vt:variant>
        <vt:lpwstr>http://www.dhrm.state.va.us/hrpolicy/web/pol1_60.pdf</vt:lpwstr>
      </vt:variant>
      <vt:variant>
        <vt:lpwstr/>
      </vt:variant>
      <vt:variant>
        <vt:i4>6029362</vt:i4>
      </vt:variant>
      <vt:variant>
        <vt:i4>3</vt:i4>
      </vt:variant>
      <vt:variant>
        <vt:i4>0</vt:i4>
      </vt:variant>
      <vt:variant>
        <vt:i4>5</vt:i4>
      </vt:variant>
      <vt:variant>
        <vt:lpwstr>http://www.umw.edu/hr/docs/classified_1207.pdf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http://www.umw.edu/hr/docs/administrative_faculty_06.pdf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Dominion University Classified Employee Working Additional Hours for the Old Dominion University Research Foundation (ODUR</dc:title>
  <dc:creator>odu</dc:creator>
  <cp:lastModifiedBy>Pam Lowery (plowery)</cp:lastModifiedBy>
  <cp:revision>4</cp:revision>
  <cp:lastPrinted>2011-02-01T20:10:00Z</cp:lastPrinted>
  <dcterms:created xsi:type="dcterms:W3CDTF">2017-12-04T19:34:00Z</dcterms:created>
  <dcterms:modified xsi:type="dcterms:W3CDTF">2017-12-04T19:35:00Z</dcterms:modified>
</cp:coreProperties>
</file>