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7E1" w:rsidRDefault="003207E1" w:rsidP="003207E1">
      <w:pPr>
        <w:rPr>
          <w:rFonts w:ascii="Verdana" w:hAnsi="Verdana"/>
        </w:rPr>
      </w:pPr>
      <w:bookmarkStart w:id="0" w:name="_GoBack"/>
      <w:bookmarkEnd w:id="0"/>
      <w:r>
        <w:rPr>
          <w:rFonts w:ascii="Verdana" w:hAnsi="Verdana"/>
        </w:rPr>
        <w:t xml:space="preserve">A </w:t>
      </w:r>
      <w:r w:rsidRPr="006E552B">
        <w:rPr>
          <w:rFonts w:ascii="Verdana" w:hAnsi="Verdana"/>
          <w:sz w:val="28"/>
          <w:szCs w:val="28"/>
        </w:rPr>
        <w:t>Fixed Asset</w:t>
      </w:r>
      <w:r>
        <w:rPr>
          <w:rFonts w:ascii="Verdana" w:hAnsi="Verdana"/>
        </w:rPr>
        <w:t xml:space="preserve"> is a durable piece of equipment with a cost of $2,000 or greater that is complete itself, does not lose identity or become a component of a building, and is expected to have a service life of more than one year.  Useful life is determined by the Commonwealth of Virginia, though a typical life cycle is about five years.  Some examples of Fixed Assets are:  computers, printers, servers, office furniture, lab equipment, vehicles, power tools, etc.</w:t>
      </w:r>
    </w:p>
    <w:p w:rsidR="003207E1" w:rsidRDefault="003207E1" w:rsidP="003207E1">
      <w:pPr>
        <w:rPr>
          <w:rFonts w:ascii="Verdana" w:hAnsi="Verdana"/>
        </w:rPr>
      </w:pPr>
    </w:p>
    <w:p w:rsidR="003207E1" w:rsidRDefault="003207E1" w:rsidP="003207E1">
      <w:pPr>
        <w:rPr>
          <w:rFonts w:ascii="Verdana" w:hAnsi="Verdana"/>
        </w:rPr>
      </w:pPr>
      <w:r>
        <w:rPr>
          <w:rFonts w:ascii="Verdana" w:hAnsi="Verdana"/>
        </w:rPr>
        <w:t>An ETF (Equipment Trust Fund) Fixed Asset is any equipment purchased using funds from the State Council of Higher Education for Virginia (SCHEV), with a $500 minimum cost to qualify for funding.  ETF is a collaborative process – Academic and IT requests are compiled and approved by the Provost (or designated appointee) and then sent to Accounting for review and submission to SCHEV</w:t>
      </w:r>
      <w:r w:rsidR="00893B0E">
        <w:rPr>
          <w:rFonts w:ascii="Verdana" w:hAnsi="Verdana"/>
        </w:rPr>
        <w:t>**</w:t>
      </w:r>
      <w:r w:rsidR="008E1ED7">
        <w:rPr>
          <w:rFonts w:ascii="Verdana" w:hAnsi="Verdana"/>
        </w:rPr>
        <w:t xml:space="preserve"> </w:t>
      </w:r>
      <w:r>
        <w:rPr>
          <w:rFonts w:ascii="Verdana" w:hAnsi="Verdana"/>
        </w:rPr>
        <w:t xml:space="preserve">for funding approval.  ETF purchases are facilitated through our Procurement Team and managed by Accounting to ensure that funds are utilized appropriately and in accordance with SCHEV guidelines.  The useful life for ETF Fixed Assets is seven years for all equipment except computers which have a useful life of three years. </w:t>
      </w:r>
    </w:p>
    <w:p w:rsidR="003207E1" w:rsidRDefault="003207E1" w:rsidP="003207E1">
      <w:pPr>
        <w:rPr>
          <w:rFonts w:ascii="Verdana" w:hAnsi="Verdana"/>
        </w:rPr>
      </w:pPr>
    </w:p>
    <w:p w:rsidR="003207E1" w:rsidRDefault="003207E1" w:rsidP="003207E1">
      <w:pPr>
        <w:rPr>
          <w:rFonts w:ascii="Verdana" w:hAnsi="Verdana"/>
        </w:rPr>
      </w:pPr>
      <w:r>
        <w:rPr>
          <w:rFonts w:ascii="Verdana" w:hAnsi="Verdana"/>
        </w:rPr>
        <w:t>All Fixed Assets are identified with Fixed Asset Tags and are tracked and verified on a continual basis through physical inventory.  Fixed Assets have a direct impact on UMW’s Financial Statements.</w:t>
      </w:r>
    </w:p>
    <w:p w:rsidR="003207E1" w:rsidRDefault="003207E1" w:rsidP="003207E1">
      <w:pPr>
        <w:rPr>
          <w:rFonts w:ascii="Verdana" w:hAnsi="Verdana"/>
        </w:rPr>
      </w:pPr>
    </w:p>
    <w:p w:rsidR="003207E1" w:rsidRDefault="003207E1" w:rsidP="003207E1">
      <w:pPr>
        <w:rPr>
          <w:rFonts w:ascii="Verdana" w:hAnsi="Verdana"/>
        </w:rPr>
      </w:pPr>
      <w:r>
        <w:rPr>
          <w:rFonts w:ascii="Verdana" w:hAnsi="Verdana"/>
        </w:rPr>
        <w:t>For Accounting purposes, all Fixed Assets are identified with an account code ending in an “F”.  For ETF Fixed Assets, the fund code of 1117</w:t>
      </w:r>
      <w:r w:rsidR="008E1ED7">
        <w:rPr>
          <w:rFonts w:ascii="Verdana" w:hAnsi="Verdana"/>
        </w:rPr>
        <w:t xml:space="preserve"> is used</w:t>
      </w:r>
      <w:r>
        <w:rPr>
          <w:rFonts w:ascii="Verdana" w:hAnsi="Verdana"/>
        </w:rPr>
        <w:t xml:space="preserve"> in addition to an account code ending in an “F”.</w:t>
      </w:r>
    </w:p>
    <w:p w:rsidR="003207E1" w:rsidRDefault="003207E1" w:rsidP="003207E1">
      <w:pPr>
        <w:rPr>
          <w:rFonts w:ascii="Verdana" w:hAnsi="Verdana"/>
        </w:rPr>
      </w:pPr>
    </w:p>
    <w:p w:rsidR="003207E1" w:rsidRDefault="003207E1" w:rsidP="003207E1">
      <w:pPr>
        <w:rPr>
          <w:rFonts w:ascii="Verdana" w:hAnsi="Verdana"/>
        </w:rPr>
      </w:pPr>
      <w:r>
        <w:rPr>
          <w:rFonts w:ascii="Verdana" w:hAnsi="Verdana"/>
        </w:rPr>
        <w:t xml:space="preserve">I am always available for questions about Fixed Assets and coding, so please reach if you have questions!  Best way to contact me is via email at </w:t>
      </w:r>
      <w:hyperlink r:id="rId4" w:history="1">
        <w:r>
          <w:rPr>
            <w:rStyle w:val="Hyperlink"/>
            <w:rFonts w:ascii="Verdana" w:hAnsi="Verdana"/>
          </w:rPr>
          <w:t>adoerfle@umw.edu</w:t>
        </w:r>
      </w:hyperlink>
    </w:p>
    <w:p w:rsidR="00394274" w:rsidRDefault="00394274"/>
    <w:p w:rsidR="003207E1" w:rsidRDefault="003207E1"/>
    <w:tbl>
      <w:tblPr>
        <w:tblW w:w="6980" w:type="dxa"/>
        <w:tblInd w:w="2" w:type="dxa"/>
        <w:tblCellMar>
          <w:left w:w="0" w:type="dxa"/>
          <w:right w:w="0" w:type="dxa"/>
        </w:tblCellMar>
        <w:tblLook w:val="04A0" w:firstRow="1" w:lastRow="0" w:firstColumn="1" w:lastColumn="0" w:noHBand="0" w:noVBand="1"/>
      </w:tblPr>
      <w:tblGrid>
        <w:gridCol w:w="1400"/>
        <w:gridCol w:w="5580"/>
      </w:tblGrid>
      <w:tr w:rsidR="003207E1" w:rsidTr="003207E1">
        <w:trPr>
          <w:trHeight w:val="1140"/>
        </w:trPr>
        <w:tc>
          <w:tcPr>
            <w:tcW w:w="1400" w:type="dxa"/>
            <w:tcBorders>
              <w:top w:val="single" w:sz="8" w:space="0" w:color="auto"/>
              <w:left w:val="single" w:sz="8" w:space="0" w:color="auto"/>
              <w:bottom w:val="nil"/>
              <w:right w:val="nil"/>
            </w:tcBorders>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Fixed Asset Account Code</w:t>
            </w:r>
          </w:p>
        </w:tc>
        <w:tc>
          <w:tcPr>
            <w:tcW w:w="5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Description</w:t>
            </w:r>
          </w:p>
        </w:tc>
      </w:tr>
      <w:tr w:rsidR="003207E1" w:rsidTr="003207E1">
        <w:trPr>
          <w:trHeight w:val="285"/>
        </w:trPr>
        <w:tc>
          <w:tcPr>
            <w:tcW w:w="14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72211F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Desktop Computers,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72212F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Mobile Computers,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72214F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Mainframe, Components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72215F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Servers, Storage Devices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72216F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Network Components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72217F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Peripherals, Printers, Imagers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 xml:space="preserve">72218F </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Software Purchase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72231F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Electronic Equipment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72232F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Multimedia Equipment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72233F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Voice Equipment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72241F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Lab Equipment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72254F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Motor Vehicles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lastRenderedPageBreak/>
              <w:t>72255F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Power Equipment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72256F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Watercraft Equipment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72261F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Office Décor/Accessories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72262F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Office Furniture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72263F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Office Incidentals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72264F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Office Machines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72271F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Household Furniture, Appliances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 xml:space="preserve">72272F </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Law Enforcement Equipment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72274F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No Power Maintenance Equipment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72275F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Recreation Equipment $2K and greater</w:t>
            </w:r>
          </w:p>
        </w:tc>
      </w:tr>
      <w:tr w:rsidR="003207E1" w:rsidTr="003207E1">
        <w:trPr>
          <w:trHeight w:val="285"/>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72282F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Fixtures $2K and greater</w:t>
            </w:r>
          </w:p>
        </w:tc>
      </w:tr>
      <w:tr w:rsidR="003207E1" w:rsidTr="003207E1">
        <w:trPr>
          <w:trHeight w:val="300"/>
        </w:trPr>
        <w:tc>
          <w:tcPr>
            <w:tcW w:w="14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72283F</w:t>
            </w:r>
          </w:p>
        </w:tc>
        <w:tc>
          <w:tcPr>
            <w:tcW w:w="55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207E1" w:rsidRDefault="003207E1">
            <w:pPr>
              <w:rPr>
                <w:rFonts w:ascii="Verdana" w:hAnsi="Verdana"/>
                <w:color w:val="000000"/>
              </w:rPr>
            </w:pPr>
            <w:r>
              <w:rPr>
                <w:rFonts w:ascii="Verdana" w:hAnsi="Verdana"/>
                <w:color w:val="000000"/>
              </w:rPr>
              <w:t>Mechanical Equipment $2K and greater</w:t>
            </w:r>
          </w:p>
        </w:tc>
      </w:tr>
    </w:tbl>
    <w:p w:rsidR="003207E1" w:rsidRDefault="003207E1"/>
    <w:p w:rsidR="00893B0E" w:rsidRDefault="00893B0E"/>
    <w:p w:rsidR="00893B0E" w:rsidRDefault="00893B0E">
      <w:pPr>
        <w:rPr>
          <w:rFonts w:ascii="Arial" w:hAnsi="Arial" w:cs="Arial"/>
          <w:color w:val="202124"/>
          <w:shd w:val="clear" w:color="auto" w:fill="FFFFFF"/>
        </w:rPr>
      </w:pPr>
      <w:r>
        <w:t xml:space="preserve">** </w:t>
      </w:r>
      <w:r>
        <w:rPr>
          <w:rFonts w:ascii="Arial" w:hAnsi="Arial" w:cs="Arial"/>
          <w:color w:val="202124"/>
          <w:shd w:val="clear" w:color="auto" w:fill="FFFFFF"/>
        </w:rPr>
        <w:t>The State Council of Higher Education for Virginia (SCHEV) is the </w:t>
      </w:r>
      <w:r>
        <w:rPr>
          <w:rFonts w:ascii="Arial" w:hAnsi="Arial" w:cs="Arial"/>
          <w:b/>
          <w:bCs/>
          <w:color w:val="202124"/>
          <w:shd w:val="clear" w:color="auto" w:fill="FFFFFF"/>
        </w:rPr>
        <w:t>Commonwealth's coordinating body for higher education</w:t>
      </w:r>
      <w:r>
        <w:rPr>
          <w:rFonts w:ascii="Arial" w:hAnsi="Arial" w:cs="Arial"/>
          <w:color w:val="202124"/>
          <w:shd w:val="clear" w:color="auto" w:fill="FFFFFF"/>
        </w:rPr>
        <w:t>. The Office of the Provost is the liaison to SCHEV and acts as a resource for the university community in regards to SCHEV policy compliance.</w:t>
      </w:r>
    </w:p>
    <w:p w:rsidR="00893B0E" w:rsidRDefault="0038311B">
      <w:hyperlink r:id="rId5" w:history="1">
        <w:r w:rsidR="00893B0E" w:rsidRPr="00EA3FC9">
          <w:rPr>
            <w:rStyle w:val="Hyperlink"/>
          </w:rPr>
          <w:t>https://www.schev.edu/index/agency-info/agency-overview</w:t>
        </w:r>
      </w:hyperlink>
    </w:p>
    <w:p w:rsidR="00893B0E" w:rsidRDefault="00893B0E"/>
    <w:p w:rsidR="00893B0E" w:rsidRDefault="0038311B">
      <w:hyperlink r:id="rId6" w:history="1">
        <w:r w:rsidR="00893B0E" w:rsidRPr="00EA3FC9">
          <w:rPr>
            <w:rStyle w:val="Hyperlink"/>
          </w:rPr>
          <w:t>https://www.schev.edu/images/default-source/highered101/keyfactshighereducation2021back.jpg</w:t>
        </w:r>
      </w:hyperlink>
    </w:p>
    <w:p w:rsidR="00893B0E" w:rsidRDefault="00893B0E">
      <w:r>
        <w:rPr>
          <w:noProof/>
        </w:rPr>
        <w:drawing>
          <wp:inline distT="0" distB="0" distL="0" distR="0" wp14:anchorId="62946A76" wp14:editId="2407C5B0">
            <wp:extent cx="520065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0650" cy="3571875"/>
                    </a:xfrm>
                    <a:prstGeom prst="rect">
                      <a:avLst/>
                    </a:prstGeom>
                  </pic:spPr>
                </pic:pic>
              </a:graphicData>
            </a:graphic>
          </wp:inline>
        </w:drawing>
      </w:r>
    </w:p>
    <w:p w:rsidR="006E552B" w:rsidRDefault="006E552B">
      <w:r>
        <w:rPr>
          <w:noProof/>
        </w:rPr>
        <w:lastRenderedPageBreak/>
        <w:drawing>
          <wp:inline distT="0" distB="0" distL="0" distR="0" wp14:anchorId="76A40ED8" wp14:editId="3FC5D2F2">
            <wp:extent cx="5010150" cy="452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10150" cy="4524375"/>
                    </a:xfrm>
                    <a:prstGeom prst="rect">
                      <a:avLst/>
                    </a:prstGeom>
                  </pic:spPr>
                </pic:pic>
              </a:graphicData>
            </a:graphic>
          </wp:inline>
        </w:drawing>
      </w:r>
    </w:p>
    <w:sectPr w:rsidR="006E5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E1"/>
    <w:rsid w:val="000D56B1"/>
    <w:rsid w:val="002C2EBE"/>
    <w:rsid w:val="003207E1"/>
    <w:rsid w:val="0038311B"/>
    <w:rsid w:val="00394274"/>
    <w:rsid w:val="003C1088"/>
    <w:rsid w:val="006E552B"/>
    <w:rsid w:val="007C4311"/>
    <w:rsid w:val="00893B0E"/>
    <w:rsid w:val="008A117A"/>
    <w:rsid w:val="008E1ED7"/>
    <w:rsid w:val="00932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1CDFD-12D1-4550-ACF8-56915D84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7E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07E1"/>
    <w:rPr>
      <w:color w:val="0563C1"/>
      <w:u w:val="single"/>
    </w:rPr>
  </w:style>
  <w:style w:type="character" w:styleId="UnresolvedMention">
    <w:name w:val="Unresolved Mention"/>
    <w:basedOn w:val="DefaultParagraphFont"/>
    <w:uiPriority w:val="99"/>
    <w:semiHidden/>
    <w:unhideWhenUsed/>
    <w:rsid w:val="00893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987735">
      <w:bodyDiv w:val="1"/>
      <w:marLeft w:val="0"/>
      <w:marRight w:val="0"/>
      <w:marTop w:val="0"/>
      <w:marBottom w:val="0"/>
      <w:divBdr>
        <w:top w:val="none" w:sz="0" w:space="0" w:color="auto"/>
        <w:left w:val="none" w:sz="0" w:space="0" w:color="auto"/>
        <w:bottom w:val="none" w:sz="0" w:space="0" w:color="auto"/>
        <w:right w:val="none" w:sz="0" w:space="0" w:color="auto"/>
      </w:divBdr>
    </w:div>
    <w:div w:id="21131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chev.edu/images/default-source/highered101/keyfactshighereducation2021back.jpg" TargetMode="External"/><Relationship Id="rId5" Type="http://schemas.openxmlformats.org/officeDocument/2006/relationships/hyperlink" Target="https://www.schev.edu/index/agency-info/agency-overview" TargetMode="External"/><Relationship Id="rId10" Type="http://schemas.openxmlformats.org/officeDocument/2006/relationships/theme" Target="theme/theme1.xml"/><Relationship Id="rId4" Type="http://schemas.openxmlformats.org/officeDocument/2006/relationships/hyperlink" Target="mailto:adoerfle@umw.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Chapman (vchapman)</dc:creator>
  <cp:keywords/>
  <dc:description/>
  <cp:lastModifiedBy>Vickie Chapman (vchapman)</cp:lastModifiedBy>
  <cp:revision>2</cp:revision>
  <dcterms:created xsi:type="dcterms:W3CDTF">2021-08-20T17:16:00Z</dcterms:created>
  <dcterms:modified xsi:type="dcterms:W3CDTF">2021-08-20T17:16:00Z</dcterms:modified>
</cp:coreProperties>
</file>