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EC2" w:rsidRDefault="00FB4EC2" w:rsidP="00AE60D8">
      <w:pPr>
        <w:pStyle w:val="Heading1"/>
        <w:jc w:val="center"/>
        <w:rPr>
          <w:noProof/>
        </w:rPr>
      </w:pPr>
      <w:r w:rsidRPr="00D747D6">
        <w:rPr>
          <w:noProof/>
        </w:rPr>
        <w:t>Buyer Examples of prepay coding within eVA and Works</w:t>
      </w:r>
    </w:p>
    <w:p w:rsidR="00FB4EC2" w:rsidRDefault="00FB4EC2" w:rsidP="00AE60D8">
      <w:pPr>
        <w:jc w:val="center"/>
        <w:rPr>
          <w:b/>
          <w:noProof/>
        </w:rPr>
      </w:pPr>
      <w:r>
        <w:rPr>
          <w:noProof/>
        </w:rPr>
        <w:t xml:space="preserve">Updated Prepay Table </w:t>
      </w:r>
      <w:hyperlink r:id="rId4" w:history="1">
        <w:r w:rsidRPr="0061144F">
          <w:rPr>
            <w:rStyle w:val="Hyperlink"/>
            <w:b/>
            <w:noProof/>
          </w:rPr>
          <w:t>https://adminfinance.umw.edu/ap/pre-payments/</w:t>
        </w:r>
      </w:hyperlink>
      <w:bookmarkStart w:id="0" w:name="_GoBack"/>
      <w:bookmarkEnd w:id="0"/>
    </w:p>
    <w:p w:rsidR="00FB4EC2" w:rsidRPr="00D747D6" w:rsidRDefault="00FB4EC2" w:rsidP="00FB4EC2">
      <w:pPr>
        <w:jc w:val="center"/>
        <w:rPr>
          <w:noProof/>
          <w:sz w:val="24"/>
          <w:szCs w:val="24"/>
        </w:rPr>
      </w:pPr>
    </w:p>
    <w:p w:rsidR="00FB4EC2" w:rsidRDefault="00FB4EC2" w:rsidP="00FB4EC2">
      <w:pPr>
        <w:rPr>
          <w:noProof/>
        </w:rPr>
      </w:pPr>
      <w:r w:rsidRPr="00FB4EC2">
        <w:rPr>
          <w:b/>
          <w:noProof/>
        </w:rPr>
        <w:t>Example 1</w:t>
      </w:r>
      <w:r w:rsidRPr="00FB4EC2">
        <w:rPr>
          <w:b/>
          <w:noProof/>
        </w:rPr>
        <w:t>: Use of eVA and Descriptions Area on line item</w:t>
      </w:r>
      <w:r>
        <w:rPr>
          <w:noProof/>
        </w:rPr>
        <w:t xml:space="preserve"> </w:t>
      </w:r>
      <w:r w:rsidRPr="00FB4EC2">
        <w:rPr>
          <w:b/>
          <w:noProof/>
        </w:rPr>
        <w:t>for yearly subscription/member</w:t>
      </w:r>
      <w:r w:rsidR="00AE60D8">
        <w:rPr>
          <w:b/>
          <w:noProof/>
        </w:rPr>
        <w:t>s</w:t>
      </w:r>
      <w:r w:rsidRPr="00FB4EC2">
        <w:rPr>
          <w:b/>
          <w:noProof/>
        </w:rPr>
        <w:t>hip</w:t>
      </w:r>
    </w:p>
    <w:p w:rsidR="00FB4EC2" w:rsidRDefault="00FB4EC2" w:rsidP="00FB4EC2">
      <w:pPr>
        <w:rPr>
          <w:noProof/>
        </w:rPr>
      </w:pPr>
      <w:r>
        <w:rPr>
          <w:noProof/>
        </w:rPr>
        <w:t xml:space="preserve"> This order has detailed information on what is being purchased and includes prepay discussed last meeting:</w:t>
      </w:r>
    </w:p>
    <w:p w:rsidR="00FB4EC2" w:rsidRDefault="00FB4EC2" w:rsidP="00FB4EC2">
      <w:pPr>
        <w:rPr>
          <w:noProof/>
        </w:rPr>
      </w:pPr>
      <w:r>
        <w:rPr>
          <w:noProof/>
        </w:rPr>
        <w:drawing>
          <wp:inline distT="0" distB="0" distL="0" distR="0" wp14:anchorId="192FE604" wp14:editId="5D97E8F0">
            <wp:extent cx="5400675" cy="1085850"/>
            <wp:effectExtent l="19050" t="19050" r="28575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085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B4EC2" w:rsidRDefault="00FB4EC2" w:rsidP="00FB4EC2">
      <w:pPr>
        <w:rPr>
          <w:noProof/>
        </w:rPr>
      </w:pPr>
      <w:r>
        <w:rPr>
          <w:noProof/>
        </w:rPr>
        <w:t xml:space="preserve"> </w:t>
      </w:r>
    </w:p>
    <w:p w:rsidR="00FB4EC2" w:rsidRDefault="00FB4EC2" w:rsidP="00FB4EC2">
      <w:pPr>
        <w:rPr>
          <w:b/>
          <w:noProof/>
        </w:rPr>
      </w:pPr>
      <w:r>
        <w:rPr>
          <w:noProof/>
        </w:rPr>
        <w:t xml:space="preserve">Reminder, there is a new account code on pre pay table for memberships realted to software purchases- use 71275 or 72218L, </w:t>
      </w:r>
      <w:r w:rsidRPr="00BB54CA">
        <w:rPr>
          <w:b/>
          <w:noProof/>
        </w:rPr>
        <w:t>NOT 71221</w:t>
      </w:r>
      <w:r>
        <w:rPr>
          <w:b/>
          <w:noProof/>
        </w:rPr>
        <w:t>.  See the prepay table for additional information.</w:t>
      </w:r>
    </w:p>
    <w:p w:rsidR="00FB4EC2" w:rsidRDefault="00FB4EC2" w:rsidP="00FB4EC2">
      <w:pPr>
        <w:rPr>
          <w:noProof/>
        </w:rPr>
      </w:pPr>
      <w:r>
        <w:rPr>
          <w:noProof/>
        </w:rPr>
        <w:drawing>
          <wp:inline distT="0" distB="0" distL="0" distR="0" wp14:anchorId="27D035F3" wp14:editId="79B2814B">
            <wp:extent cx="5943600" cy="756920"/>
            <wp:effectExtent l="19050" t="19050" r="19050" b="241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9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B4EC2" w:rsidRDefault="00FB4EC2" w:rsidP="00FB4EC2">
      <w:pPr>
        <w:rPr>
          <w:noProof/>
        </w:rPr>
      </w:pPr>
    </w:p>
    <w:p w:rsidR="00FB4EC2" w:rsidRDefault="00FB4EC2" w:rsidP="00FB4EC2">
      <w:pPr>
        <w:rPr>
          <w:b/>
          <w:noProof/>
        </w:rPr>
      </w:pPr>
      <w:r w:rsidRPr="00FB4EC2">
        <w:rPr>
          <w:b/>
          <w:noProof/>
        </w:rPr>
        <w:t xml:space="preserve">Example </w:t>
      </w:r>
      <w:r w:rsidRPr="00FB4EC2">
        <w:rPr>
          <w:b/>
          <w:noProof/>
        </w:rPr>
        <w:t>2</w:t>
      </w:r>
      <w:r w:rsidRPr="00FB4EC2">
        <w:rPr>
          <w:b/>
          <w:noProof/>
        </w:rPr>
        <w:t xml:space="preserve">: Prepays </w:t>
      </w:r>
      <w:r w:rsidRPr="00FB4EC2">
        <w:rPr>
          <w:b/>
          <w:noProof/>
        </w:rPr>
        <w:t>in Works for yearly date ranges are entered on G</w:t>
      </w:r>
      <w:r w:rsidR="009F1F4C">
        <w:rPr>
          <w:b/>
          <w:noProof/>
        </w:rPr>
        <w:t>L</w:t>
      </w:r>
      <w:r w:rsidRPr="00FB4EC2">
        <w:rPr>
          <w:b/>
          <w:noProof/>
        </w:rPr>
        <w:t xml:space="preserve"> 06 and GL07</w:t>
      </w:r>
    </w:p>
    <w:p w:rsidR="00FB4EC2" w:rsidRPr="00FB4EC2" w:rsidRDefault="00FB4EC2" w:rsidP="00FB4EC2">
      <w:pPr>
        <w:rPr>
          <w:b/>
          <w:noProof/>
        </w:rPr>
      </w:pPr>
      <w:r>
        <w:rPr>
          <w:noProof/>
        </w:rPr>
        <w:drawing>
          <wp:inline distT="0" distB="0" distL="0" distR="0" wp14:anchorId="1652FC76" wp14:editId="487A6345">
            <wp:extent cx="3346704" cy="103327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6704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EC2" w:rsidRDefault="00FB4EC2" w:rsidP="00FB4EC2">
      <w:pPr>
        <w:rPr>
          <w:noProof/>
        </w:rPr>
      </w:pPr>
    </w:p>
    <w:p w:rsidR="00FB4EC2" w:rsidRDefault="00FB4EC2" w:rsidP="00FB4EC2">
      <w:pPr>
        <w:rPr>
          <w:noProof/>
        </w:rPr>
      </w:pPr>
      <w:r w:rsidRPr="00FB4EC2">
        <w:rPr>
          <w:b/>
          <w:noProof/>
        </w:rPr>
        <w:t>Exam</w:t>
      </w:r>
      <w:r>
        <w:rPr>
          <w:b/>
          <w:noProof/>
        </w:rPr>
        <w:t>p</w:t>
      </w:r>
      <w:r w:rsidRPr="00FB4EC2">
        <w:rPr>
          <w:b/>
          <w:noProof/>
        </w:rPr>
        <w:t>le3: Prepay entered as 13 months in Works</w:t>
      </w:r>
      <w:r>
        <w:rPr>
          <w:noProof/>
        </w:rPr>
        <w:t>.</w:t>
      </w:r>
    </w:p>
    <w:p w:rsidR="00FB4EC2" w:rsidRDefault="00FB4EC2" w:rsidP="00FB4EC2">
      <w:pPr>
        <w:rPr>
          <w:noProof/>
        </w:rPr>
      </w:pPr>
      <w:r>
        <w:rPr>
          <w:noProof/>
        </w:rPr>
        <w:t>The below e</w:t>
      </w:r>
      <w:r w:rsidR="00AE60D8">
        <w:rPr>
          <w:noProof/>
        </w:rPr>
        <w:t>ntry</w:t>
      </w:r>
      <w:r>
        <w:rPr>
          <w:noProof/>
        </w:rPr>
        <w:t xml:space="preserve"> </w:t>
      </w:r>
      <w:r>
        <w:rPr>
          <w:noProof/>
        </w:rPr>
        <w:t xml:space="preserve">is </w:t>
      </w:r>
      <w:r>
        <w:rPr>
          <w:noProof/>
        </w:rPr>
        <w:t xml:space="preserve">for a </w:t>
      </w:r>
      <w:r>
        <w:rPr>
          <w:noProof/>
        </w:rPr>
        <w:t xml:space="preserve">13 </w:t>
      </w:r>
      <w:r>
        <w:rPr>
          <w:noProof/>
        </w:rPr>
        <w:t>month date rante</w:t>
      </w:r>
      <w:r>
        <w:rPr>
          <w:noProof/>
        </w:rPr>
        <w:t>, not acceptable to Department of Accounts.   If the Start Date</w:t>
      </w:r>
      <w:r>
        <w:rPr>
          <w:noProof/>
        </w:rPr>
        <w:t xml:space="preserve"> (GL06) </w:t>
      </w:r>
      <w:r>
        <w:rPr>
          <w:noProof/>
        </w:rPr>
        <w:t xml:space="preserve">and the End Date </w:t>
      </w:r>
      <w:r>
        <w:rPr>
          <w:noProof/>
        </w:rPr>
        <w:t xml:space="preserve">(GL 07) </w:t>
      </w:r>
      <w:r>
        <w:rPr>
          <w:noProof/>
        </w:rPr>
        <w:t>ha</w:t>
      </w:r>
      <w:r>
        <w:rPr>
          <w:noProof/>
        </w:rPr>
        <w:t>ve</w:t>
      </w:r>
      <w:r>
        <w:rPr>
          <w:noProof/>
        </w:rPr>
        <w:t xml:space="preserve"> the same month, that always equals 13 months in Works:</w:t>
      </w:r>
    </w:p>
    <w:p w:rsidR="00FB4EC2" w:rsidRDefault="00FB4EC2" w:rsidP="00FB4EC2">
      <w:pPr>
        <w:rPr>
          <w:noProof/>
        </w:rPr>
      </w:pPr>
      <w:r>
        <w:rPr>
          <w:noProof/>
        </w:rPr>
        <w:drawing>
          <wp:inline distT="0" distB="0" distL="0" distR="0" wp14:anchorId="5017082A" wp14:editId="1EA11F15">
            <wp:extent cx="4143375" cy="1009650"/>
            <wp:effectExtent l="19050" t="19050" r="28575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009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B4EC2" w:rsidRDefault="00FB4EC2" w:rsidP="00FB4EC2">
      <w:pPr>
        <w:rPr>
          <w:noProof/>
        </w:rPr>
      </w:pPr>
    </w:p>
    <w:p w:rsidR="00AE60D8" w:rsidRDefault="00AE60D8" w:rsidP="00FB4EC2">
      <w:pPr>
        <w:rPr>
          <w:b/>
          <w:noProof/>
        </w:rPr>
      </w:pPr>
    </w:p>
    <w:p w:rsidR="00AE60D8" w:rsidRPr="00AE60D8" w:rsidRDefault="00AE60D8" w:rsidP="00FB4EC2">
      <w:pPr>
        <w:rPr>
          <w:b/>
          <w:noProof/>
        </w:rPr>
      </w:pPr>
      <w:r w:rsidRPr="00AE60D8">
        <w:rPr>
          <w:b/>
          <w:noProof/>
        </w:rPr>
        <w:lastRenderedPageBreak/>
        <w:t>Example 4:  Prepay entries for mid month date ranges</w:t>
      </w:r>
      <w:r>
        <w:rPr>
          <w:b/>
          <w:noProof/>
        </w:rPr>
        <w:t xml:space="preserve"> in Works</w:t>
      </w:r>
    </w:p>
    <w:p w:rsidR="00FB4EC2" w:rsidRDefault="00FB4EC2" w:rsidP="00FB4EC2">
      <w:pPr>
        <w:rPr>
          <w:noProof/>
        </w:rPr>
      </w:pPr>
      <w:r>
        <w:rPr>
          <w:noProof/>
        </w:rPr>
        <w:t>T</w:t>
      </w:r>
      <w:r>
        <w:rPr>
          <w:noProof/>
        </w:rPr>
        <w:t xml:space="preserve">hose tricky yearly subscriptions/memberships that run mid month, lets say 8/14/2021-8/13/21  would be entered </w:t>
      </w:r>
      <w:r w:rsidR="00AE60D8">
        <w:rPr>
          <w:noProof/>
        </w:rPr>
        <w:t>as below</w:t>
      </w:r>
      <w:r>
        <w:rPr>
          <w:noProof/>
        </w:rPr>
        <w:t xml:space="preserve">.  </w:t>
      </w:r>
      <w:r w:rsidR="00AE60D8">
        <w:rPr>
          <w:noProof/>
        </w:rPr>
        <w:t xml:space="preserve">Drop a month off the  Prepay End Date on GL07 </w:t>
      </w:r>
      <w:r>
        <w:rPr>
          <w:noProof/>
        </w:rPr>
        <w:t xml:space="preserve"> to show a 12 month period of time.</w:t>
      </w:r>
    </w:p>
    <w:p w:rsidR="00AE60D8" w:rsidRDefault="00AE60D8" w:rsidP="00FB4EC2">
      <w:pPr>
        <w:rPr>
          <w:noProof/>
        </w:rPr>
      </w:pPr>
      <w:r>
        <w:rPr>
          <w:noProof/>
        </w:rPr>
        <w:drawing>
          <wp:inline distT="0" distB="0" distL="0" distR="0" wp14:anchorId="3DEB6932" wp14:editId="0B2F8AF1">
            <wp:extent cx="3346704" cy="103327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6704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0D8" w:rsidRDefault="00AE60D8" w:rsidP="00AE60D8">
      <w:pPr>
        <w:rPr>
          <w:noProof/>
        </w:rPr>
      </w:pPr>
      <w:r>
        <w:rPr>
          <w:noProof/>
        </w:rPr>
        <w:t xml:space="preserve">When the Prepay Start and End dates are </w:t>
      </w:r>
      <w:r>
        <w:rPr>
          <w:noProof/>
        </w:rPr>
        <w:t>less than a year, lets say 1/15/22 to 03/15/22,  that’s alittle easier to understand and document.</w:t>
      </w:r>
    </w:p>
    <w:p w:rsidR="00AE60D8" w:rsidRDefault="00AE60D8" w:rsidP="00AE60D8">
      <w:pPr>
        <w:rPr>
          <w:noProof/>
        </w:rPr>
      </w:pPr>
      <w:r>
        <w:rPr>
          <w:noProof/>
        </w:rPr>
        <w:drawing>
          <wp:inline distT="0" distB="0" distL="0" distR="0" wp14:anchorId="66E13E25" wp14:editId="6A1A0787">
            <wp:extent cx="3177540" cy="964328"/>
            <wp:effectExtent l="19050" t="19050" r="22860" b="266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7259" cy="9703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B4EC2" w:rsidRDefault="00FB4EC2" w:rsidP="00FB4EC2">
      <w:pPr>
        <w:rPr>
          <w:noProof/>
        </w:rPr>
      </w:pPr>
    </w:p>
    <w:p w:rsidR="00FB4EC2" w:rsidRDefault="00FB4EC2" w:rsidP="00FB4EC2">
      <w:pPr>
        <w:rPr>
          <w:noProof/>
        </w:rPr>
      </w:pPr>
    </w:p>
    <w:p w:rsidR="00FB4EC2" w:rsidRDefault="00FB4EC2" w:rsidP="00FB4EC2">
      <w:pPr>
        <w:rPr>
          <w:noProof/>
        </w:rPr>
      </w:pPr>
    </w:p>
    <w:sectPr w:rsidR="00FB4EC2" w:rsidSect="00FB4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C2"/>
    <w:rsid w:val="000D56B1"/>
    <w:rsid w:val="002C2EBE"/>
    <w:rsid w:val="00394274"/>
    <w:rsid w:val="007C4311"/>
    <w:rsid w:val="008A117A"/>
    <w:rsid w:val="009322A4"/>
    <w:rsid w:val="009F1F4C"/>
    <w:rsid w:val="00AB757B"/>
    <w:rsid w:val="00AE60D8"/>
    <w:rsid w:val="00C06BB7"/>
    <w:rsid w:val="00FB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1500"/>
  <w15:chartTrackingRefBased/>
  <w15:docId w15:val="{3E9F418B-67E9-44AE-BB07-F2BC16E5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EC2"/>
  </w:style>
  <w:style w:type="paragraph" w:styleId="Heading1">
    <w:name w:val="heading 1"/>
    <w:basedOn w:val="Normal"/>
    <w:next w:val="Normal"/>
    <w:link w:val="Heading1Char"/>
    <w:uiPriority w:val="9"/>
    <w:qFormat/>
    <w:rsid w:val="00FB4E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E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B4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adminfinance.umw.edu/ap/pre-payments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Chapman (vchapman)</dc:creator>
  <cp:keywords/>
  <dc:description/>
  <cp:lastModifiedBy>Vickie Chapman (vchapman)</cp:lastModifiedBy>
  <cp:revision>2</cp:revision>
  <dcterms:created xsi:type="dcterms:W3CDTF">2021-09-14T11:58:00Z</dcterms:created>
  <dcterms:modified xsi:type="dcterms:W3CDTF">2021-09-14T12:27:00Z</dcterms:modified>
</cp:coreProperties>
</file>